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header3.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3"/>
        <w:spacing w:before="160" w:after="80"/>
        <w:ind w:hanging="0" w:start="0" w:end="0"/>
        <w:rPr/>
      </w:pPr>
      <w:bookmarkStart w:id="0" w:name="__DdeLink__658_3079405851"/>
      <w:r>
        <w:rPr>
          <w:rFonts w:eastAsia="Times New Roman" w:cs="Times New Roman" w:ascii="Times New Roman" w:hAnsi="Times New Roman"/>
          <w:b/>
          <w:color w:val="000000"/>
          <w:sz w:val="28"/>
        </w:rPr>
        <w:t>Green Guidance Self-Evaluation Tool for Career Practitioners</w:t>
      </w:r>
      <w:bookmarkEnd w:id="0"/>
    </w:p>
    <w:p>
      <w:pPr>
        <w:pStyle w:val="Normal"/>
        <w:ind w:hanging="0" w:start="0" w:end="0"/>
        <w:rPr>
          <w:highlight w:val="none"/>
        </w:rPr>
      </w:pPr>
      <w:bookmarkStart w:id="1" w:name="__DdeLink__658_2360008653"/>
      <w:bookmarkStart w:id="2" w:name="__DdeLink__677_2831457445"/>
      <w:r>
        <w:rPr/>
        <w:t xml:space="preserve">This tool is designed for career practitioners who want to integrate sustainability into their practice using the principles of Green Guidance. It is not a test, but a framework to help you reflect on your current practice, identify areas for improvement and plan your next steps. Greening your practice is a process. You may score differently across domains, and that’s normal. </w:t>
      </w:r>
      <w:bookmarkEnd w:id="1"/>
      <w:bookmarkEnd w:id="2"/>
    </w:p>
    <w:p>
      <w:pPr>
        <w:pStyle w:val="Normal"/>
        <w:ind w:hanging="0" w:start="0" w:end="0"/>
        <w:rPr>
          <w:rFonts w:ascii="Times New Roman" w:hAnsi="Times New Roman" w:eastAsia="Times New Roman" w:cs="Times New Roman"/>
          <w:sz w:val="24"/>
          <w:szCs w:val="24"/>
        </w:rPr>
      </w:pPr>
      <w:r>
        <w:rPr>
          <w:rFonts w:eastAsia="Times New Roman" w:cs="Times New Roman"/>
          <w:sz w:val="24"/>
          <w:szCs w:val="24"/>
        </w:rPr>
      </w:r>
    </w:p>
    <w:p>
      <w:pPr>
        <w:pStyle w:val="Normal"/>
        <w:ind w:hanging="0" w:start="0" w:end="0"/>
        <w:rPr/>
      </w:pPr>
      <w:r>
        <w:rPr/>
        <w:t>How to use this tool:</w:t>
      </w:r>
    </w:p>
    <w:p>
      <w:pPr>
        <w:pStyle w:val="ListParagraph"/>
        <w:numPr>
          <w:ilvl w:val="0"/>
          <w:numId w:val="8"/>
        </w:numPr>
        <w:ind w:hanging="360" w:start="709" w:end="0"/>
        <w:rPr/>
      </w:pPr>
      <w:r>
        <w:rPr/>
        <w:t>Rate each statement using the 1–5 scale (1 = Not yet, 5 = Fully integrated).</w:t>
      </w:r>
    </w:p>
    <w:p>
      <w:pPr>
        <w:pStyle w:val="ListParagraph"/>
        <w:numPr>
          <w:ilvl w:val="0"/>
          <w:numId w:val="8"/>
        </w:numPr>
        <w:ind w:hanging="360" w:start="709" w:end="0"/>
        <w:rPr/>
      </w:pPr>
      <w:r>
        <w:rPr/>
        <w:t>Identify 1-2  priority action per domain to work on over the next 3 months.</w:t>
      </w:r>
    </w:p>
    <w:p>
      <w:pPr>
        <w:pStyle w:val="ListParagraph"/>
        <w:numPr>
          <w:ilvl w:val="0"/>
          <w:numId w:val="8"/>
        </w:numPr>
        <w:ind w:hanging="360" w:start="709" w:end="0"/>
        <w:rPr/>
      </w:pPr>
      <w:r>
        <w:rPr/>
        <w:t>You may want review your scores regularly (e.g. quarterly), note what has changed, and set new priorities.</w:t>
      </w:r>
    </w:p>
    <w:p>
      <w:pPr>
        <w:pStyle w:val="ListParagraph"/>
        <w:numPr>
          <w:ilvl w:val="0"/>
          <w:numId w:val="8"/>
        </w:numPr>
        <w:ind w:hanging="360" w:start="709" w:end="0"/>
        <w:rPr/>
      </w:pPr>
      <w:r>
        <w:rPr/>
        <w:t>Remember that change is cumulative - focus on consistent, measurable and meaningful actions.</w:t>
      </w:r>
    </w:p>
    <w:p>
      <w:pPr>
        <w:pStyle w:val="Normal"/>
        <w:ind w:hanging="0" w:start="0" w:end="0"/>
        <w:rPr>
          <w:rFonts w:ascii="Times New Roman" w:hAnsi="Times New Roman" w:eastAsia="Times New Roman" w:cs="Times New Roman"/>
          <w:sz w:val="24"/>
          <w:szCs w:val="24"/>
        </w:rPr>
      </w:pPr>
      <w:r>
        <w:rPr>
          <w:rFonts w:eastAsia="Times New Roman" w:cs="Times New Roman"/>
          <w:sz w:val="24"/>
          <w:szCs w:val="24"/>
        </w:rPr>
      </w:r>
    </w:p>
    <w:p>
      <w:pPr>
        <w:pStyle w:val="Normal"/>
        <w:ind w:hanging="0" w:start="0" w:end="0"/>
        <w:rPr>
          <w:highlight w:val="none"/>
        </w:rPr>
      </w:pPr>
      <w:r>
        <w:rPr/>
        <w:t>Scale: 1 = Not yet • 2 = Rarely • 3 = Sometimes / in progress • 4 = Often • 5 = Consistently / fully integrated</w:t>
      </w:r>
    </w:p>
    <w:p>
      <w:pPr>
        <w:pStyle w:val="Normal"/>
        <w:ind w:hanging="0" w:start="0" w:end="0"/>
        <w:rPr>
          <w:highlight w:val="none"/>
        </w:rPr>
      </w:pPr>
      <w:r>
        <w:rPr/>
      </w:r>
    </w:p>
    <w:tbl>
      <w:tblPr>
        <w:tblStyle w:val="780"/>
        <w:tblW w:w="9591" w:type="dxa"/>
        <w:jc w:val="start"/>
        <w:tblInd w:w="0" w:type="dxa"/>
        <w:tblLayout w:type="fixed"/>
        <w:tblCellMar>
          <w:top w:w="15" w:type="dxa"/>
          <w:start w:w="15" w:type="dxa"/>
          <w:bottom w:w="15" w:type="dxa"/>
          <w:end w:w="15" w:type="dxa"/>
        </w:tblCellMar>
        <w:tblLook w:val="04a0" w:noHBand="0" w:noVBand="1" w:firstColumn="1" w:lastRow="0" w:lastColumn="0" w:firstRow="1"/>
      </w:tblPr>
      <w:tblGrid>
        <w:gridCol w:w="8271"/>
        <w:gridCol w:w="264"/>
        <w:gridCol w:w="258"/>
        <w:gridCol w:w="258"/>
        <w:gridCol w:w="276"/>
        <w:gridCol w:w="264"/>
      </w:tblGrid>
      <w:tr>
        <w:trPr>
          <w:trHeight w:val="275" w:hRule="atLeast"/>
        </w:trPr>
        <w:tc>
          <w:tcPr>
            <w:tcW w:w="8271" w:type="dxa"/>
            <w:tcBorders/>
            <w:vAlign w:val="center"/>
          </w:tcPr>
          <w:p>
            <w:pPr>
              <w:pStyle w:val="Normal"/>
              <w:widowControl/>
              <w:spacing w:lineRule="auto" w:line="240" w:before="0" w:after="0"/>
              <w:jc w:val="center"/>
              <w:rPr>
                <w:sz w:val="16"/>
                <w:szCs w:val="16"/>
              </w:rPr>
            </w:pPr>
            <w:r>
              <w:rPr>
                <w:rFonts w:eastAsia="Times New Roman" w:cs="Times New Roman"/>
                <w:b/>
                <w:color w:val="000000"/>
                <w:kern w:val="0"/>
                <w:sz w:val="20"/>
                <w:szCs w:val="20"/>
              </w:rPr>
              <w:t>A: Personal awareness</w:t>
            </w:r>
          </w:p>
        </w:tc>
        <w:tc>
          <w:tcPr>
            <w:tcW w:w="264" w:type="dxa"/>
            <w:tcBorders/>
            <w:vAlign w:val="center"/>
          </w:tcPr>
          <w:p>
            <w:pPr>
              <w:pStyle w:val="Normal"/>
              <w:widowControl/>
              <w:spacing w:lineRule="auto" w:line="240" w:before="0" w:after="0"/>
              <w:jc w:val="center"/>
              <w:rPr>
                <w:sz w:val="16"/>
                <w:szCs w:val="16"/>
              </w:rPr>
            </w:pPr>
            <w:r>
              <w:rPr>
                <w:rFonts w:eastAsia="Times New Roman" w:cs="Times New Roman"/>
                <w:b/>
                <w:color w:val="000000"/>
                <w:kern w:val="0"/>
                <w:sz w:val="20"/>
                <w:szCs w:val="20"/>
              </w:rPr>
              <w:t>1</w:t>
            </w:r>
          </w:p>
        </w:tc>
        <w:tc>
          <w:tcPr>
            <w:tcW w:w="258" w:type="dxa"/>
            <w:tcBorders/>
            <w:vAlign w:val="center"/>
          </w:tcPr>
          <w:p>
            <w:pPr>
              <w:pStyle w:val="Normal"/>
              <w:widowControl/>
              <w:spacing w:lineRule="auto" w:line="240" w:before="0" w:after="0"/>
              <w:jc w:val="center"/>
              <w:rPr>
                <w:sz w:val="16"/>
                <w:szCs w:val="16"/>
              </w:rPr>
            </w:pPr>
            <w:r>
              <w:rPr>
                <w:rFonts w:eastAsia="Times New Roman" w:cs="Times New Roman"/>
                <w:b/>
                <w:color w:val="000000"/>
                <w:kern w:val="0"/>
                <w:sz w:val="20"/>
                <w:szCs w:val="20"/>
              </w:rPr>
              <w:t>2</w:t>
            </w:r>
          </w:p>
        </w:tc>
        <w:tc>
          <w:tcPr>
            <w:tcW w:w="258" w:type="dxa"/>
            <w:tcBorders/>
            <w:vAlign w:val="center"/>
          </w:tcPr>
          <w:p>
            <w:pPr>
              <w:pStyle w:val="Normal"/>
              <w:widowControl/>
              <w:spacing w:lineRule="auto" w:line="240" w:before="0" w:after="0"/>
              <w:jc w:val="center"/>
              <w:rPr>
                <w:sz w:val="16"/>
                <w:szCs w:val="16"/>
              </w:rPr>
            </w:pPr>
            <w:r>
              <w:rPr>
                <w:rFonts w:eastAsia="Times New Roman" w:cs="Times New Roman"/>
                <w:b/>
                <w:color w:val="000000"/>
                <w:kern w:val="0"/>
                <w:sz w:val="20"/>
                <w:szCs w:val="20"/>
              </w:rPr>
              <w:t>3</w:t>
            </w:r>
          </w:p>
        </w:tc>
        <w:tc>
          <w:tcPr>
            <w:tcW w:w="276" w:type="dxa"/>
            <w:tcBorders/>
            <w:vAlign w:val="center"/>
          </w:tcPr>
          <w:p>
            <w:pPr>
              <w:pStyle w:val="Normal"/>
              <w:widowControl/>
              <w:spacing w:lineRule="auto" w:line="240" w:before="0" w:after="0"/>
              <w:jc w:val="center"/>
              <w:rPr>
                <w:sz w:val="16"/>
                <w:szCs w:val="16"/>
              </w:rPr>
            </w:pPr>
            <w:r>
              <w:rPr>
                <w:rFonts w:eastAsia="Times New Roman" w:cs="Times New Roman"/>
                <w:b/>
                <w:color w:val="000000"/>
                <w:kern w:val="0"/>
                <w:sz w:val="20"/>
                <w:szCs w:val="20"/>
              </w:rPr>
              <w:t>4</w:t>
            </w:r>
          </w:p>
        </w:tc>
        <w:tc>
          <w:tcPr>
            <w:tcW w:w="264" w:type="dxa"/>
            <w:tcBorders/>
            <w:vAlign w:val="center"/>
          </w:tcPr>
          <w:p>
            <w:pPr>
              <w:pStyle w:val="Normal"/>
              <w:widowControl/>
              <w:spacing w:lineRule="auto" w:line="240" w:before="0" w:after="0"/>
              <w:jc w:val="center"/>
              <w:rPr>
                <w:sz w:val="16"/>
                <w:szCs w:val="16"/>
              </w:rPr>
            </w:pPr>
            <w:r>
              <w:rPr>
                <w:rFonts w:eastAsia="Times New Roman" w:cs="Times New Roman"/>
                <w:b/>
                <w:color w:val="000000"/>
                <w:kern w:val="0"/>
                <w:sz w:val="20"/>
                <w:szCs w:val="20"/>
              </w:rPr>
              <w:t>5</w:t>
            </w:r>
          </w:p>
        </w:tc>
      </w:tr>
      <w:tr>
        <w:trPr>
          <w:trHeight w:val="825" w:hRule="atLeast"/>
        </w:trPr>
        <w:tc>
          <w:tcPr>
            <w:tcW w:w="8271"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1 I am knowledgeable about current environmental crisis (e.g., climate change, biodiversity loss, the great acceleration, planetary boundaries, tipping points...), its systemic nature and its links to the current socio-economic system (anthropocene, capitalocene, systemic lock-ins...)</w:t>
            </w:r>
          </w:p>
        </w:tc>
        <w:tc>
          <w:tcPr>
            <w:tcW w:w="264"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58"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58"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76"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64"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r>
      <w:tr>
        <w:trPr>
          <w:trHeight w:val="550" w:hRule="atLeast"/>
        </w:trPr>
        <w:tc>
          <w:tcPr>
            <w:tcW w:w="8271" w:type="dxa"/>
            <w:tcBorders/>
            <w:vAlign w:val="center"/>
          </w:tcPr>
          <w:p>
            <w:pPr>
              <w:pStyle w:val="Normal"/>
              <w:widowControl/>
              <w:spacing w:lineRule="auto" w:line="240" w:before="0" w:after="0"/>
              <w:jc w:val="start"/>
              <w:rPr>
                <w:sz w:val="20"/>
                <w:szCs w:val="20"/>
              </w:rPr>
            </w:pPr>
            <w:r>
              <w:rPr>
                <w:rFonts w:eastAsia="Times New Roman" w:cs="Times New Roman"/>
                <w:color w:val="000000"/>
                <w:kern w:val="0"/>
                <w:sz w:val="20"/>
                <w:szCs w:val="20"/>
              </w:rPr>
              <w:t>2 I am aware of the connections between environmental crisis and social justice (the role of inequalities, exploitation of workers, of the global south…), of alternative narratives that promote sustainable imaginaries (e.g., doughnut economy, post-growth/degrowth, low-tech...).</w:t>
            </w:r>
          </w:p>
        </w:tc>
        <w:tc>
          <w:tcPr>
            <w:tcW w:w="264"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58"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58"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76"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64"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r>
      <w:tr>
        <w:trPr>
          <w:trHeight w:val="550" w:hRule="atLeast"/>
        </w:trPr>
        <w:tc>
          <w:tcPr>
            <w:tcW w:w="8271"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3 I understand the theoretical foundations of green guidance (origins, definition, dimensions).</w:t>
            </w:r>
          </w:p>
        </w:tc>
        <w:tc>
          <w:tcPr>
            <w:tcW w:w="264"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58"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58"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76"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64"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r>
      <w:tr>
        <w:trPr>
          <w:trHeight w:val="550" w:hRule="atLeast"/>
        </w:trPr>
        <w:tc>
          <w:tcPr>
            <w:tcW w:w="8271" w:type="dxa"/>
            <w:tcBorders/>
            <w:vAlign w:val="center"/>
          </w:tcPr>
          <w:p>
            <w:pPr>
              <w:pStyle w:val="Normal"/>
              <w:spacing w:lineRule="auto" w:line="240"/>
              <w:rPr>
                <w:rFonts w:eastAsia="Times New Roman" w:cs="Times New Roman"/>
                <w:color w:val="000000"/>
                <w:sz w:val="20"/>
                <w:szCs w:val="20"/>
              </w:rPr>
            </w:pPr>
            <w:r>
              <w:rPr>
                <w:rFonts w:eastAsia="Times New Roman" w:cs="Times New Roman"/>
                <w:color w:val="000000"/>
                <w:sz w:val="20"/>
                <w:szCs w:val="20"/>
              </w:rPr>
              <w:t>4 I am aware of the limits and tensions of promoting sustainability within existing labour market systems and reflect on power relations embedded in career guidance (labour markets, institutions, economic systems).</w:t>
            </w:r>
          </w:p>
        </w:tc>
        <w:tc>
          <w:tcPr>
            <w:tcW w:w="264" w:type="dxa"/>
            <w:tcBorders/>
            <w:vAlign w:val="center"/>
          </w:tcPr>
          <w:p>
            <w:pPr>
              <w:pStyle w:val="Normal"/>
              <w:widowControl/>
              <w:spacing w:lineRule="auto" w:line="240" w:before="0" w:after="0"/>
              <w:jc w:val="start"/>
              <w:rPr>
                <w:sz w:val="20"/>
                <w:szCs w:val="20"/>
              </w:rPr>
            </w:pPr>
            <w:r>
              <w:rPr>
                <w:rFonts w:eastAsia="Times New Roman" w:cs="Times New Roman"/>
                <w:color w:val="000000"/>
                <w:kern w:val="0"/>
                <w:sz w:val="20"/>
                <w:szCs w:val="20"/>
              </w:rPr>
              <w:t>☐</w:t>
            </w:r>
          </w:p>
        </w:tc>
        <w:tc>
          <w:tcPr>
            <w:tcW w:w="258" w:type="dxa"/>
            <w:tcBorders/>
            <w:vAlign w:val="center"/>
          </w:tcPr>
          <w:p>
            <w:pPr>
              <w:pStyle w:val="Normal"/>
              <w:widowControl/>
              <w:spacing w:lineRule="auto" w:line="240" w:before="0" w:after="0"/>
              <w:jc w:val="start"/>
              <w:rPr>
                <w:sz w:val="20"/>
                <w:szCs w:val="20"/>
              </w:rPr>
            </w:pPr>
            <w:r>
              <w:rPr>
                <w:rFonts w:eastAsia="Times New Roman" w:cs="Times New Roman"/>
                <w:color w:val="000000"/>
                <w:kern w:val="0"/>
                <w:sz w:val="20"/>
                <w:szCs w:val="20"/>
              </w:rPr>
              <w:t>☐</w:t>
            </w:r>
          </w:p>
        </w:tc>
        <w:tc>
          <w:tcPr>
            <w:tcW w:w="258" w:type="dxa"/>
            <w:tcBorders/>
            <w:vAlign w:val="center"/>
          </w:tcPr>
          <w:p>
            <w:pPr>
              <w:pStyle w:val="Normal"/>
              <w:widowControl/>
              <w:spacing w:lineRule="auto" w:line="240" w:before="0" w:after="0"/>
              <w:jc w:val="start"/>
              <w:rPr>
                <w:sz w:val="20"/>
                <w:szCs w:val="20"/>
              </w:rPr>
            </w:pPr>
            <w:r>
              <w:rPr>
                <w:rFonts w:eastAsia="Times New Roman" w:cs="Times New Roman"/>
                <w:color w:val="000000"/>
                <w:kern w:val="0"/>
                <w:sz w:val="20"/>
                <w:szCs w:val="20"/>
              </w:rPr>
              <w:t>☐</w:t>
            </w:r>
          </w:p>
        </w:tc>
        <w:tc>
          <w:tcPr>
            <w:tcW w:w="276" w:type="dxa"/>
            <w:tcBorders/>
            <w:vAlign w:val="center"/>
          </w:tcPr>
          <w:p>
            <w:pPr>
              <w:pStyle w:val="Normal"/>
              <w:widowControl/>
              <w:spacing w:lineRule="auto" w:line="240" w:before="0" w:after="0"/>
              <w:jc w:val="start"/>
              <w:rPr>
                <w:sz w:val="20"/>
                <w:szCs w:val="20"/>
              </w:rPr>
            </w:pPr>
            <w:r>
              <w:rPr>
                <w:rFonts w:eastAsia="Times New Roman" w:cs="Times New Roman"/>
                <w:color w:val="000000"/>
                <w:kern w:val="0"/>
                <w:sz w:val="20"/>
                <w:szCs w:val="20"/>
              </w:rPr>
              <w:t>☐</w:t>
            </w:r>
          </w:p>
        </w:tc>
        <w:tc>
          <w:tcPr>
            <w:tcW w:w="264" w:type="dxa"/>
            <w:tcBorders/>
            <w:vAlign w:val="center"/>
          </w:tcPr>
          <w:p>
            <w:pPr>
              <w:pStyle w:val="Normal"/>
              <w:widowControl/>
              <w:spacing w:lineRule="auto" w:line="240" w:before="0" w:after="0"/>
              <w:jc w:val="start"/>
              <w:rPr>
                <w:sz w:val="20"/>
                <w:szCs w:val="20"/>
              </w:rPr>
            </w:pPr>
            <w:r>
              <w:rPr>
                <w:rFonts w:eastAsia="Times New Roman" w:cs="Times New Roman"/>
                <w:color w:val="000000"/>
                <w:kern w:val="0"/>
                <w:sz w:val="20"/>
                <w:szCs w:val="20"/>
              </w:rPr>
              <w:t>☐</w:t>
            </w:r>
          </w:p>
        </w:tc>
      </w:tr>
      <w:tr>
        <w:trPr>
          <w:trHeight w:val="550" w:hRule="atLeast"/>
        </w:trPr>
        <w:tc>
          <w:tcPr>
            <w:tcW w:w="8271"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5 I have reflected on how my own values, lifestyle and worldview influence my guidance practice, on my ethical dimensions of green guidance, my personal stance (e.g., conservative, liberal, light green, dark green) and professional role.</w:t>
            </w:r>
          </w:p>
        </w:tc>
        <w:tc>
          <w:tcPr>
            <w:tcW w:w="264"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58"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58"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76"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64"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r>
      <w:tr>
        <w:trPr>
          <w:trHeight w:val="550" w:hRule="atLeast"/>
        </w:trPr>
        <w:tc>
          <w:tcPr>
            <w:tcW w:w="9591" w:type="dxa"/>
            <w:gridSpan w:val="6"/>
            <w:tcBorders/>
            <w:vAlign w:val="center"/>
          </w:tcPr>
          <w:p>
            <w:pPr>
              <w:pStyle w:val="Normal"/>
              <w:widowControl/>
              <w:spacing w:lineRule="auto" w:line="240" w:before="0" w:after="0"/>
              <w:jc w:val="start"/>
              <w:rPr>
                <w:sz w:val="20"/>
                <w:szCs w:val="20"/>
              </w:rPr>
            </w:pPr>
            <w:r>
              <w:rPr>
                <w:rFonts w:eastAsia="Times New Roman" w:cs="Times New Roman"/>
                <w:color w:val="000000"/>
                <w:kern w:val="0"/>
                <w:sz w:val="20"/>
                <w:szCs w:val="20"/>
              </w:rPr>
              <w:t>Total score (4-20):</w:t>
            </w:r>
          </w:p>
          <w:p>
            <w:pPr>
              <w:pStyle w:val="Normal"/>
              <w:widowControl/>
              <w:spacing w:lineRule="auto" w:line="240" w:before="0" w:after="0"/>
              <w:jc w:val="start"/>
              <w:rPr>
                <w:sz w:val="20"/>
                <w:szCs w:val="20"/>
              </w:rPr>
            </w:pPr>
            <w:r>
              <w:rPr>
                <w:rFonts w:eastAsia="Times New Roman" w:cs="Times New Roman"/>
                <w:color w:val="000000"/>
                <w:kern w:val="0"/>
                <w:sz w:val="20"/>
                <w:szCs w:val="20"/>
              </w:rPr>
              <w:t>Priorities (next 3 months):</w:t>
            </w:r>
          </w:p>
          <w:p>
            <w:pPr>
              <w:pStyle w:val="Normal"/>
              <w:widowControl/>
              <w:spacing w:lineRule="auto" w:line="240" w:before="0" w:after="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pacing w:lineRule="auto" w:line="240" w:before="0" w:after="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pacing w:lineRule="auto" w:line="240" w:before="0" w:after="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pacing w:lineRule="auto" w:line="240" w:before="0" w:after="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tc>
      </w:tr>
    </w:tbl>
    <w:p>
      <w:pPr>
        <w:pStyle w:val="Standard"/>
        <w:rPr>
          <w:bCs/>
          <w:i/>
          <w:sz w:val="20"/>
          <w:szCs w:val="20"/>
          <w:lang w:val="en-US" w:bidi="en-US"/>
          <w14:ligatures w14:val="none"/>
        </w:rPr>
      </w:pPr>
      <w:r>
        <w:rPr>
          <w:bCs/>
          <w:i/>
          <w:sz w:val="20"/>
          <w:szCs w:val="20"/>
          <w:lang w:val="en-US" w:bidi="en-US"/>
          <w14:ligatures w14:val="none"/>
        </w:rPr>
      </w:r>
    </w:p>
    <w:p>
      <w:pPr>
        <w:pStyle w:val="Standard"/>
        <w:rPr>
          <w:i/>
          <w:iCs/>
          <w:sz w:val="20"/>
          <w:szCs w:val="32"/>
          <w:lang w:val="en-US"/>
        </w:rPr>
      </w:pPr>
      <w:r>
        <w:rPr>
          <w:i/>
          <w:iCs/>
          <w:sz w:val="20"/>
          <w:szCs w:val="32"/>
          <w:lang w:val="en-US"/>
        </w:rPr>
        <w:t xml:space="preserve">Available resources (non-exhaustive): </w:t>
      </w:r>
    </w:p>
    <w:p>
      <w:pPr>
        <w:pStyle w:val="Standard"/>
        <w:numPr>
          <w:ilvl w:val="0"/>
          <w:numId w:val="1"/>
        </w:numPr>
        <w:rPr>
          <w:sz w:val="20"/>
          <w:szCs w:val="20"/>
          <w:highlight w:val="none"/>
          <w:lang w:val="en-US"/>
        </w:rPr>
      </w:pPr>
      <w:r>
        <w:rPr>
          <w:sz w:val="20"/>
          <w:szCs w:val="20"/>
          <w:lang w:val="en-US"/>
        </w:rPr>
        <w:t xml:space="preserve">Quick introduction to climate change and ecological crisis: </w:t>
      </w:r>
      <w:hyperlink r:id="rId2">
        <w:r>
          <w:rPr>
            <w:rStyle w:val="Hyperlink"/>
            <w:sz w:val="20"/>
            <w:szCs w:val="20"/>
            <w:lang w:val="en-US"/>
          </w:rPr>
          <w:t>https://www.bbc.com/news/articles/c9w15nggj58o</w:t>
        </w:r>
      </w:hyperlink>
      <w:r>
        <w:rPr>
          <w:sz w:val="20"/>
          <w:szCs w:val="20"/>
          <w:lang w:val="en-US"/>
        </w:rPr>
        <w:t xml:space="preserve">, and also </w:t>
      </w:r>
      <w:hyperlink r:id="rId3">
        <w:r>
          <w:rPr>
            <w:rStyle w:val="Hyperlink"/>
            <w:sz w:val="20"/>
            <w:szCs w:val="20"/>
            <w:lang w:val="en-US"/>
          </w:rPr>
          <w:t>https://showyourstripes.info/</w:t>
        </w:r>
      </w:hyperlink>
    </w:p>
    <w:p>
      <w:pPr>
        <w:pStyle w:val="Standard"/>
        <w:numPr>
          <w:ilvl w:val="0"/>
          <w:numId w:val="1"/>
        </w:numPr>
        <w:rPr>
          <w:sz w:val="20"/>
          <w:szCs w:val="20"/>
          <w:highlight w:val="none"/>
          <w:lang w:val="en-US"/>
        </w:rPr>
      </w:pPr>
      <w:r>
        <w:rPr>
          <w:sz w:val="20"/>
          <w:szCs w:val="20"/>
          <w:lang w:val="en-US"/>
        </w:rPr>
        <w:t xml:space="preserve">Doughnut economics: </w:t>
      </w:r>
      <w:hyperlink r:id="rId4">
        <w:r>
          <w:rPr>
            <w:rStyle w:val="Hyperlink"/>
            <w:sz w:val="20"/>
            <w:szCs w:val="20"/>
            <w:lang w:val="en-US"/>
          </w:rPr>
          <w:t>https://doughnuteconomics.org/about-doughnut-economics</w:t>
        </w:r>
      </w:hyperlink>
      <w:r>
        <w:rPr>
          <w:rStyle w:val="Hyperlink"/>
          <w:sz w:val="20"/>
          <w:szCs w:val="20"/>
          <w:lang w:val="en-US"/>
        </w:rPr>
        <w:t xml:space="preserve">; </w:t>
      </w:r>
    </w:p>
    <w:p>
      <w:pPr>
        <w:pStyle w:val="Standard"/>
        <w:numPr>
          <w:ilvl w:val="0"/>
          <w:numId w:val="1"/>
        </w:numPr>
        <w:rPr>
          <w:sz w:val="20"/>
          <w:szCs w:val="20"/>
          <w:highlight w:val="none"/>
          <w:lang w:val="en-US"/>
        </w:rPr>
      </w:pPr>
      <w:r>
        <w:rPr>
          <w:sz w:val="20"/>
          <w:szCs w:val="20"/>
          <w:lang w:val="en-US"/>
        </w:rPr>
        <w:t xml:space="preserve">Planetary boundaries: </w:t>
      </w:r>
      <w:hyperlink r:id="rId5" w:tooltip="https://www.stockholmresilience.org/research/planetary-boundaries.html">
        <w:r>
          <w:rPr>
            <w:rStyle w:val="Hyperlink"/>
            <w:sz w:val="20"/>
            <w:szCs w:val="20"/>
            <w:lang w:val="en-US"/>
          </w:rPr>
          <w:t>https://www.stockholmresilience.org/research/planetary-boundaries.html</w:t>
        </w:r>
      </w:hyperlink>
    </w:p>
    <w:p>
      <w:pPr>
        <w:pStyle w:val="Standard"/>
        <w:numPr>
          <w:ilvl w:val="0"/>
          <w:numId w:val="1"/>
        </w:numPr>
        <w:rPr>
          <w:sz w:val="20"/>
          <w:szCs w:val="20"/>
          <w:highlight w:val="none"/>
          <w:lang w:val="en-US"/>
        </w:rPr>
      </w:pPr>
      <w:r>
        <w:rPr>
          <w:sz w:val="20"/>
          <w:szCs w:val="20"/>
          <w:lang w:val="en-US"/>
        </w:rPr>
        <w:t xml:space="preserve">Environmental tipping points: </w:t>
      </w:r>
      <w:hyperlink r:id="rId6" w:tooltip="https://www.carbonbrief.org/explainer-nine-tipping-points-that-could-be-triggered-by-climate-change/">
        <w:r>
          <w:rPr>
            <w:rStyle w:val="Hyperlink"/>
            <w:sz w:val="20"/>
            <w:szCs w:val="20"/>
            <w:lang w:val="en-US"/>
          </w:rPr>
          <w:t>https://www.carbonbrief.org/explainer-nine-tipping-points-that-could-be-triggered-by-climate-change/</w:t>
        </w:r>
      </w:hyperlink>
    </w:p>
    <w:p>
      <w:pPr>
        <w:pStyle w:val="Standard"/>
        <w:numPr>
          <w:ilvl w:val="0"/>
          <w:numId w:val="1"/>
        </w:numPr>
        <w:rPr>
          <w:sz w:val="20"/>
          <w:szCs w:val="20"/>
          <w:highlight w:val="none"/>
          <w:lang w:val="en-US"/>
        </w:rPr>
      </w:pPr>
      <w:r>
        <w:rPr>
          <w:sz w:val="20"/>
          <w:szCs w:val="20"/>
          <w:lang w:val="en-US"/>
        </w:rPr>
        <w:t xml:space="preserve">Free MOOCs, such as </w:t>
      </w:r>
      <w:hyperlink r:id="rId7">
        <w:r>
          <w:rPr>
            <w:rStyle w:val="Hyperlink"/>
            <w:sz w:val="20"/>
            <w:szCs w:val="20"/>
            <w:lang w:val="en-US"/>
          </w:rPr>
          <w:t>From Climate Science to Action</w:t>
        </w:r>
      </w:hyperlink>
    </w:p>
    <w:p>
      <w:pPr>
        <w:pStyle w:val="Standard"/>
        <w:numPr>
          <w:ilvl w:val="0"/>
          <w:numId w:val="1"/>
        </w:numPr>
        <w:rPr>
          <w:sz w:val="20"/>
          <w:szCs w:val="20"/>
          <w:highlight w:val="none"/>
          <w:lang w:val="en-US"/>
        </w:rPr>
      </w:pPr>
      <w:r>
        <w:rPr>
          <w:sz w:val="20"/>
          <w:szCs w:val="20"/>
          <w:lang w:val="en-US"/>
        </w:rPr>
        <w:t xml:space="preserve">Oxfam reports on climate inequalities: </w:t>
      </w:r>
      <w:hyperlink r:id="rId8" w:tooltip="https://www.oxfam.org/en/research/climate-equality-planet-99">
        <w:r>
          <w:rPr>
            <w:rStyle w:val="Hyperlink"/>
            <w:sz w:val="20"/>
            <w:szCs w:val="20"/>
            <w:lang w:val="en-US"/>
          </w:rPr>
          <w:t xml:space="preserve">https://www.oxfam.org/en/research/climate-equality-planet-99 </w:t>
        </w:r>
      </w:hyperlink>
    </w:p>
    <w:p>
      <w:pPr>
        <w:pStyle w:val="Standard"/>
        <w:numPr>
          <w:ilvl w:val="0"/>
          <w:numId w:val="1"/>
        </w:numPr>
        <w:rPr>
          <w:sz w:val="20"/>
          <w:szCs w:val="20"/>
          <w:highlight w:val="none"/>
          <w:lang w:val="en-US"/>
        </w:rPr>
      </w:pPr>
      <w:r>
        <w:rPr>
          <w:sz w:val="20"/>
          <w:szCs w:val="20"/>
          <w:lang w:val="en-US" w:bidi="sk-SK"/>
        </w:rPr>
        <w:t xml:space="preserve">Introduction to degrowth: </w:t>
      </w:r>
      <w:hyperlink r:id="rId9" w:tooltip="https://www.degrowthinstitute.org/toolkit">
        <w:r>
          <w:rPr>
            <w:rStyle w:val="Hyperlink"/>
            <w:sz w:val="20"/>
            <w:szCs w:val="20"/>
            <w:lang w:val="en-US" w:bidi="sk-SK"/>
          </w:rPr>
          <w:t xml:space="preserve">https://www.degrowthinstitute.org/toolkit  </w:t>
        </w:r>
      </w:hyperlink>
    </w:p>
    <w:p>
      <w:pPr>
        <w:pStyle w:val="Standard"/>
        <w:numPr>
          <w:ilvl w:val="0"/>
          <w:numId w:val="1"/>
        </w:numPr>
        <w:rPr>
          <w:sz w:val="20"/>
          <w:szCs w:val="20"/>
          <w:highlight w:val="none"/>
          <w:lang w:val="en-US"/>
        </w:rPr>
      </w:pPr>
      <w:r>
        <w:rPr>
          <w:sz w:val="20"/>
          <w:szCs w:val="20"/>
          <w:lang w:val="en-US" w:bidi="sk-SK"/>
        </w:rPr>
        <w:t>Bullshit jobs (David Greaeber) or other critical works (antrhopology, sociology of work) on employment and work</w:t>
      </w:r>
    </w:p>
    <w:p>
      <w:pPr>
        <w:pStyle w:val="Standard"/>
        <w:numPr>
          <w:ilvl w:val="0"/>
          <w:numId w:val="1"/>
        </w:numPr>
        <w:rPr>
          <w:sz w:val="20"/>
          <w:szCs w:val="20"/>
          <w:highlight w:val="none"/>
          <w:lang w:val="en-US"/>
        </w:rPr>
      </w:pPr>
      <w:r>
        <w:rPr>
          <w:sz w:val="20"/>
          <w:szCs w:val="20"/>
          <w:lang w:val="en-US" w:bidi="sk-SK"/>
        </w:rPr>
        <w:t>Critical pedagogy by Paolo Freire</w:t>
      </w:r>
    </w:p>
    <w:p>
      <w:pPr>
        <w:pStyle w:val="Standard"/>
        <w:numPr>
          <w:ilvl w:val="0"/>
          <w:numId w:val="1"/>
        </w:numPr>
        <w:rPr>
          <w:sz w:val="20"/>
          <w:szCs w:val="20"/>
          <w:highlight w:val="none"/>
          <w:lang w:val="en-US"/>
        </w:rPr>
      </w:pPr>
      <w:r>
        <w:rPr>
          <w:sz w:val="20"/>
          <w:szCs w:val="20"/>
          <w:lang w:val="en-US" w:bidi="sk-SK"/>
        </w:rPr>
        <w:t>Chapter 1 of the Green Guidance Handbook: Introduction</w:t>
      </w:r>
    </w:p>
    <w:p>
      <w:pPr>
        <w:pStyle w:val="Standard"/>
        <w:numPr>
          <w:ilvl w:val="0"/>
          <w:numId w:val="1"/>
        </w:numPr>
        <w:rPr>
          <w:sz w:val="20"/>
          <w:szCs w:val="20"/>
          <w:highlight w:val="none"/>
          <w:lang w:val="en-US"/>
        </w:rPr>
      </w:pPr>
      <w:r>
        <w:rPr>
          <w:sz w:val="20"/>
          <w:szCs w:val="20"/>
          <w:lang w:val="en-US" w:bidi="sk-SK"/>
        </w:rPr>
        <w:t>Chapter 2 of the Green Guidance Handbook: What is green guidance?</w:t>
      </w:r>
    </w:p>
    <w:p>
      <w:pPr>
        <w:pStyle w:val="Standard"/>
        <w:numPr>
          <w:ilvl w:val="0"/>
          <w:numId w:val="1"/>
        </w:numPr>
        <w:rPr>
          <w:sz w:val="20"/>
          <w:szCs w:val="20"/>
          <w:highlight w:val="none"/>
          <w:lang w:val="en-US"/>
        </w:rPr>
      </w:pPr>
      <w:r>
        <w:rPr>
          <w:sz w:val="20"/>
          <w:szCs w:val="20"/>
          <w:lang w:val="en-US" w:bidi="sk-SK"/>
        </w:rPr>
        <w:t>Chapter 4 of the Green Guidance Handbook: Is green guidance ethical?</w:t>
      </w:r>
    </w:p>
    <w:p>
      <w:pPr>
        <w:pStyle w:val="Standard"/>
        <w:numPr>
          <w:ilvl w:val="0"/>
          <w:numId w:val="2"/>
        </w:numPr>
        <w:rPr>
          <w:sz w:val="20"/>
          <w:szCs w:val="20"/>
          <w:highlight w:val="none"/>
          <w:lang w:val="en-US"/>
        </w:rPr>
      </w:pPr>
      <w:r>
        <w:rPr>
          <w:sz w:val="20"/>
          <w:szCs w:val="20"/>
          <w:lang w:val="en-US" w:bidi="sk-SK"/>
        </w:rPr>
        <w:t xml:space="preserve">Green guidance literature review (optional): </w:t>
      </w:r>
      <w:hyperlink r:id="rId10" w:tooltip="https://www.green-guidance.eu/resources/evidence-on-green-guidance-a-review-of-the-literature/">
        <w:r>
          <w:rPr>
            <w:rStyle w:val="Style"/>
            <w:sz w:val="20"/>
            <w:szCs w:val="20"/>
            <w:lang w:val="en-US" w:bidi="sk-SK"/>
          </w:rPr>
          <w:t>https://www.green-guidance.eu/resources/evidence-on-green-guidance-a-review-of-the-literature/</w:t>
        </w:r>
      </w:hyperlink>
      <w:r>
        <w:br w:type="page"/>
      </w:r>
    </w:p>
    <w:tbl>
      <w:tblPr>
        <w:tblStyle w:val="780"/>
        <w:tblW w:w="9609" w:type="dxa"/>
        <w:jc w:val="start"/>
        <w:tblInd w:w="0" w:type="dxa"/>
        <w:tblLayout w:type="fixed"/>
        <w:tblCellMar>
          <w:top w:w="15" w:type="dxa"/>
          <w:start w:w="15" w:type="dxa"/>
          <w:bottom w:w="15" w:type="dxa"/>
          <w:end w:w="15" w:type="dxa"/>
        </w:tblCellMar>
        <w:tblLook w:val="04a0" w:noHBand="0" w:noVBand="1" w:firstColumn="1" w:lastRow="0" w:lastColumn="0" w:firstRow="1"/>
      </w:tblPr>
      <w:tblGrid>
        <w:gridCol w:w="8279"/>
        <w:gridCol w:w="266"/>
        <w:gridCol w:w="266"/>
        <w:gridCol w:w="257"/>
        <w:gridCol w:w="270"/>
        <w:gridCol w:w="271"/>
      </w:tblGrid>
      <w:tr>
        <w:trPr>
          <w:trHeight w:val="275" w:hRule="atLeast"/>
        </w:trPr>
        <w:tc>
          <w:tcPr>
            <w:tcW w:w="8279" w:type="dxa"/>
            <w:tcBorders/>
            <w:vAlign w:val="center"/>
          </w:tcPr>
          <w:p>
            <w:pPr>
              <w:pStyle w:val="Normal"/>
              <w:pageBreakBefore/>
              <w:widowControl/>
              <w:spacing w:lineRule="auto" w:line="240" w:before="0" w:after="0"/>
              <w:jc w:val="center"/>
              <w:rPr>
                <w:kern w:val="0"/>
                <w:sz w:val="20"/>
                <w:szCs w:val="20"/>
              </w:rPr>
            </w:pPr>
            <w:r>
              <w:rPr>
                <w:rFonts w:eastAsia="Times New Roman" w:cs="Times New Roman"/>
                <w:b/>
                <w:color w:val="000000"/>
                <w:kern w:val="0"/>
                <w:sz w:val="24"/>
                <w:szCs w:val="20"/>
              </w:rPr>
              <w:t>B: Client engagement</w:t>
            </w:r>
          </w:p>
        </w:tc>
        <w:tc>
          <w:tcPr>
            <w:tcW w:w="266" w:type="dxa"/>
            <w:tcBorders/>
            <w:vAlign w:val="center"/>
          </w:tcPr>
          <w:p>
            <w:pPr>
              <w:pStyle w:val="Normal"/>
              <w:widowControl/>
              <w:spacing w:lineRule="auto" w:line="240" w:before="0" w:after="0"/>
              <w:jc w:val="center"/>
              <w:rPr>
                <w:kern w:val="0"/>
                <w:sz w:val="20"/>
                <w:szCs w:val="20"/>
              </w:rPr>
            </w:pPr>
            <w:r>
              <w:rPr>
                <w:rFonts w:eastAsia="Times New Roman" w:cs="Times New Roman"/>
                <w:b/>
                <w:color w:val="000000"/>
                <w:kern w:val="0"/>
                <w:sz w:val="24"/>
                <w:szCs w:val="20"/>
              </w:rPr>
              <w:t>1</w:t>
            </w:r>
          </w:p>
        </w:tc>
        <w:tc>
          <w:tcPr>
            <w:tcW w:w="266" w:type="dxa"/>
            <w:tcBorders/>
            <w:vAlign w:val="center"/>
          </w:tcPr>
          <w:p>
            <w:pPr>
              <w:pStyle w:val="Normal"/>
              <w:widowControl/>
              <w:spacing w:lineRule="auto" w:line="240" w:before="0" w:after="0"/>
              <w:jc w:val="center"/>
              <w:rPr>
                <w:kern w:val="0"/>
                <w:sz w:val="20"/>
                <w:szCs w:val="20"/>
              </w:rPr>
            </w:pPr>
            <w:r>
              <w:rPr>
                <w:rFonts w:eastAsia="Times New Roman" w:cs="Times New Roman"/>
                <w:b/>
                <w:color w:val="000000"/>
                <w:kern w:val="0"/>
                <w:sz w:val="24"/>
                <w:szCs w:val="20"/>
              </w:rPr>
              <w:t>2</w:t>
            </w:r>
          </w:p>
        </w:tc>
        <w:tc>
          <w:tcPr>
            <w:tcW w:w="257" w:type="dxa"/>
            <w:tcBorders/>
            <w:vAlign w:val="center"/>
          </w:tcPr>
          <w:p>
            <w:pPr>
              <w:pStyle w:val="Normal"/>
              <w:widowControl/>
              <w:spacing w:lineRule="auto" w:line="240" w:before="0" w:after="0"/>
              <w:jc w:val="center"/>
              <w:rPr>
                <w:kern w:val="0"/>
                <w:sz w:val="20"/>
                <w:szCs w:val="20"/>
              </w:rPr>
            </w:pPr>
            <w:r>
              <w:rPr>
                <w:rFonts w:eastAsia="Times New Roman" w:cs="Times New Roman"/>
                <w:b/>
                <w:color w:val="000000"/>
                <w:kern w:val="0"/>
                <w:sz w:val="24"/>
                <w:szCs w:val="20"/>
              </w:rPr>
              <w:t>3</w:t>
            </w:r>
          </w:p>
        </w:tc>
        <w:tc>
          <w:tcPr>
            <w:tcW w:w="270" w:type="dxa"/>
            <w:tcBorders/>
            <w:vAlign w:val="center"/>
          </w:tcPr>
          <w:p>
            <w:pPr>
              <w:pStyle w:val="Normal"/>
              <w:widowControl/>
              <w:spacing w:lineRule="auto" w:line="240" w:before="0" w:after="0"/>
              <w:jc w:val="center"/>
              <w:rPr>
                <w:kern w:val="0"/>
                <w:sz w:val="20"/>
                <w:szCs w:val="20"/>
              </w:rPr>
            </w:pPr>
            <w:r>
              <w:rPr>
                <w:rFonts w:eastAsia="Times New Roman" w:cs="Times New Roman"/>
                <w:b/>
                <w:color w:val="000000"/>
                <w:kern w:val="0"/>
                <w:sz w:val="24"/>
                <w:szCs w:val="20"/>
              </w:rPr>
              <w:t>4</w:t>
            </w:r>
          </w:p>
        </w:tc>
        <w:tc>
          <w:tcPr>
            <w:tcW w:w="271" w:type="dxa"/>
            <w:tcBorders/>
            <w:vAlign w:val="center"/>
          </w:tcPr>
          <w:p>
            <w:pPr>
              <w:pStyle w:val="Normal"/>
              <w:widowControl/>
              <w:spacing w:lineRule="auto" w:line="240" w:before="0" w:after="0"/>
              <w:jc w:val="center"/>
              <w:rPr>
                <w:kern w:val="0"/>
                <w:sz w:val="20"/>
                <w:szCs w:val="20"/>
              </w:rPr>
            </w:pPr>
            <w:r>
              <w:rPr>
                <w:rFonts w:eastAsia="Times New Roman" w:cs="Times New Roman"/>
                <w:b/>
                <w:color w:val="000000"/>
                <w:kern w:val="0"/>
                <w:sz w:val="24"/>
                <w:szCs w:val="20"/>
              </w:rPr>
              <w:t>5</w:t>
            </w:r>
          </w:p>
        </w:tc>
      </w:tr>
      <w:tr>
        <w:trPr>
          <w:trHeight w:val="550" w:hRule="atLeast"/>
        </w:trPr>
        <w:tc>
          <w:tcPr>
            <w:tcW w:w="8279" w:type="dxa"/>
            <w:tcBorders/>
            <w:vAlign w:val="center"/>
          </w:tcPr>
          <w:p>
            <w:pPr>
              <w:pStyle w:val="Normal"/>
              <w:widowControl/>
              <w:spacing w:lineRule="auto" w:line="240" w:before="0" w:after="0"/>
              <w:jc w:val="start"/>
              <w:rPr>
                <w:sz w:val="20"/>
                <w:szCs w:val="20"/>
              </w:rPr>
            </w:pPr>
            <w:r>
              <w:rPr>
                <w:rFonts w:eastAsia="Times New Roman" w:cs="Times New Roman"/>
                <w:color w:val="000000"/>
                <w:kern w:val="0"/>
                <w:sz w:val="20"/>
                <w:szCs w:val="20"/>
              </w:rPr>
              <w:t>6 I introduce sustainability at the start of the client process (implicit or explicit messaging, environment of the office, contracting).</w:t>
            </w:r>
          </w:p>
        </w:tc>
        <w:tc>
          <w:tcPr>
            <w:tcW w:w="266"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66"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57"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70"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71"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r>
      <w:tr>
        <w:trPr>
          <w:trHeight w:val="825" w:hRule="atLeast"/>
        </w:trPr>
        <w:tc>
          <w:tcPr>
            <w:tcW w:w="8279" w:type="dxa"/>
            <w:tcBorders/>
            <w:vAlign w:val="center"/>
          </w:tcPr>
          <w:p>
            <w:pPr>
              <w:pStyle w:val="Normal"/>
              <w:widowControl/>
              <w:spacing w:lineRule="auto" w:line="240" w:before="0" w:after="0"/>
              <w:jc w:val="start"/>
              <w:rPr>
                <w:sz w:val="20"/>
                <w:szCs w:val="20"/>
              </w:rPr>
            </w:pPr>
            <w:r>
              <w:rPr>
                <w:rFonts w:eastAsia="Times New Roman" w:cs="Times New Roman"/>
                <w:color w:val="000000"/>
                <w:kern w:val="0"/>
                <w:sz w:val="20"/>
                <w:szCs w:val="20"/>
              </w:rPr>
              <w:t xml:space="preserve">7 I integrate sustainability-related reflection into career discussions: discussing values, contribution to the world, current and future labour market trends, integrating sustainability into career decisions, expanding the notion of career (reflecting on other roles within community)... without inducing feelings of guilt or moral obligation in clients. </w:t>
            </w:r>
          </w:p>
        </w:tc>
        <w:tc>
          <w:tcPr>
            <w:tcW w:w="266"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66"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57"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70"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71"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r>
      <w:tr>
        <w:trPr>
          <w:trHeight w:val="232" w:hRule="atLeast"/>
        </w:trPr>
        <w:tc>
          <w:tcPr>
            <w:tcW w:w="8279" w:type="dxa"/>
            <w:tcBorders/>
            <w:vAlign w:val="center"/>
          </w:tcPr>
          <w:p>
            <w:pPr>
              <w:pStyle w:val="Normal"/>
              <w:spacing w:lineRule="auto" w:line="240"/>
              <w:rPr>
                <w:sz w:val="16"/>
                <w:szCs w:val="16"/>
              </w:rPr>
            </w:pPr>
            <w:r>
              <w:rPr>
                <w:kern w:val="0"/>
                <w:sz w:val="20"/>
                <w:szCs w:val="20"/>
              </w:rPr>
              <w:t>8 I</w:t>
            </w:r>
            <w:r>
              <w:rPr>
                <w:rFonts w:eastAsia="Times New Roman" w:cs="Times New Roman"/>
                <w:color w:val="000000"/>
                <w:sz w:val="20"/>
                <w:szCs w:val="20"/>
              </w:rPr>
              <w:t xml:space="preserve"> can adapt the level of sustainability discussion depending on client readiness.</w:t>
            </w:r>
          </w:p>
        </w:tc>
        <w:tc>
          <w:tcPr>
            <w:tcW w:w="266" w:type="dxa"/>
            <w:tcBorders/>
            <w:vAlign w:val="center"/>
          </w:tcPr>
          <w:p>
            <w:pPr>
              <w:pStyle w:val="Normal"/>
              <w:widowControl/>
              <w:spacing w:lineRule="auto" w:line="240" w:before="0" w:after="0"/>
              <w:jc w:val="start"/>
              <w:rPr>
                <w:sz w:val="20"/>
                <w:szCs w:val="20"/>
              </w:rPr>
            </w:pPr>
            <w:r>
              <w:rPr>
                <w:rFonts w:eastAsia="Times New Roman" w:cs="Times New Roman"/>
                <w:color w:val="000000"/>
                <w:kern w:val="0"/>
                <w:sz w:val="20"/>
                <w:szCs w:val="20"/>
              </w:rPr>
              <w:t>☐</w:t>
            </w:r>
          </w:p>
        </w:tc>
        <w:tc>
          <w:tcPr>
            <w:tcW w:w="266" w:type="dxa"/>
            <w:tcBorders/>
            <w:vAlign w:val="center"/>
          </w:tcPr>
          <w:p>
            <w:pPr>
              <w:pStyle w:val="Normal"/>
              <w:widowControl/>
              <w:spacing w:lineRule="auto" w:line="240" w:before="0" w:after="0"/>
              <w:jc w:val="start"/>
              <w:rPr>
                <w:sz w:val="20"/>
                <w:szCs w:val="20"/>
              </w:rPr>
            </w:pPr>
            <w:r>
              <w:rPr>
                <w:rFonts w:eastAsia="Times New Roman" w:cs="Times New Roman"/>
                <w:color w:val="000000"/>
                <w:kern w:val="0"/>
                <w:sz w:val="20"/>
                <w:szCs w:val="20"/>
              </w:rPr>
              <w:t>☐</w:t>
            </w:r>
          </w:p>
        </w:tc>
        <w:tc>
          <w:tcPr>
            <w:tcW w:w="257" w:type="dxa"/>
            <w:tcBorders/>
            <w:vAlign w:val="center"/>
          </w:tcPr>
          <w:p>
            <w:pPr>
              <w:pStyle w:val="Normal"/>
              <w:widowControl/>
              <w:spacing w:lineRule="auto" w:line="240" w:before="0" w:after="0"/>
              <w:jc w:val="start"/>
              <w:rPr>
                <w:sz w:val="20"/>
                <w:szCs w:val="20"/>
              </w:rPr>
            </w:pPr>
            <w:r>
              <w:rPr>
                <w:rFonts w:eastAsia="Times New Roman" w:cs="Times New Roman"/>
                <w:color w:val="000000"/>
                <w:kern w:val="0"/>
                <w:sz w:val="20"/>
                <w:szCs w:val="20"/>
              </w:rPr>
              <w:t>☐</w:t>
            </w:r>
          </w:p>
        </w:tc>
        <w:tc>
          <w:tcPr>
            <w:tcW w:w="270" w:type="dxa"/>
            <w:tcBorders/>
            <w:vAlign w:val="center"/>
          </w:tcPr>
          <w:p>
            <w:pPr>
              <w:pStyle w:val="Normal"/>
              <w:widowControl/>
              <w:spacing w:lineRule="auto" w:line="240" w:before="0" w:after="0"/>
              <w:jc w:val="start"/>
              <w:rPr>
                <w:sz w:val="20"/>
                <w:szCs w:val="20"/>
              </w:rPr>
            </w:pPr>
            <w:r>
              <w:rPr>
                <w:rFonts w:eastAsia="Times New Roman" w:cs="Times New Roman"/>
                <w:color w:val="000000"/>
                <w:kern w:val="0"/>
                <w:sz w:val="20"/>
                <w:szCs w:val="20"/>
              </w:rPr>
              <w:t>☐</w:t>
            </w:r>
          </w:p>
        </w:tc>
        <w:tc>
          <w:tcPr>
            <w:tcW w:w="271" w:type="dxa"/>
            <w:tcBorders/>
            <w:vAlign w:val="center"/>
          </w:tcPr>
          <w:p>
            <w:pPr>
              <w:pStyle w:val="Normal"/>
              <w:widowControl/>
              <w:spacing w:lineRule="auto" w:line="240" w:before="0" w:after="0"/>
              <w:jc w:val="start"/>
              <w:rPr>
                <w:sz w:val="20"/>
                <w:szCs w:val="20"/>
              </w:rPr>
            </w:pPr>
            <w:r>
              <w:rPr>
                <w:rFonts w:eastAsia="Times New Roman" w:cs="Times New Roman"/>
                <w:color w:val="000000"/>
                <w:kern w:val="0"/>
                <w:sz w:val="20"/>
                <w:szCs w:val="20"/>
              </w:rPr>
              <w:t>☐</w:t>
            </w:r>
          </w:p>
        </w:tc>
      </w:tr>
      <w:tr>
        <w:trPr>
          <w:trHeight w:val="550" w:hRule="atLeast"/>
        </w:trPr>
        <w:tc>
          <w:tcPr>
            <w:tcW w:w="8279" w:type="dxa"/>
            <w:tcBorders/>
            <w:vAlign w:val="center"/>
          </w:tcPr>
          <w:p>
            <w:pPr>
              <w:pStyle w:val="Normal"/>
              <w:widowControl/>
              <w:spacing w:lineRule="auto" w:line="240" w:before="0" w:after="0"/>
              <w:jc w:val="start"/>
              <w:rPr>
                <w:sz w:val="20"/>
                <w:szCs w:val="20"/>
              </w:rPr>
            </w:pPr>
            <w:r>
              <w:rPr>
                <w:rFonts w:eastAsia="Times New Roman" w:cs="Times New Roman"/>
                <w:color w:val="000000"/>
                <w:kern w:val="0"/>
                <w:sz w:val="20"/>
                <w:szCs w:val="20"/>
              </w:rPr>
              <w:t>9 I am able to link clients’ experiences of injustice or harm at work (burn-out, exploitation, discrimination...) to open the questions of sustainability and impact of work.</w:t>
            </w:r>
          </w:p>
        </w:tc>
        <w:tc>
          <w:tcPr>
            <w:tcW w:w="266"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66"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57"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70"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71"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r>
      <w:tr>
        <w:trPr>
          <w:trHeight w:val="550" w:hRule="atLeast"/>
        </w:trPr>
        <w:tc>
          <w:tcPr>
            <w:tcW w:w="8279" w:type="dxa"/>
            <w:tcBorders/>
            <w:vAlign w:val="center"/>
          </w:tcPr>
          <w:p>
            <w:pPr>
              <w:pStyle w:val="Normal"/>
              <w:widowControl/>
              <w:spacing w:lineRule="auto" w:line="240" w:before="0" w:after="0"/>
              <w:jc w:val="start"/>
              <w:rPr>
                <w:sz w:val="20"/>
                <w:szCs w:val="20"/>
              </w:rPr>
            </w:pPr>
            <w:r>
              <w:rPr>
                <w:rFonts w:eastAsia="Times New Roman" w:cs="Times New Roman"/>
                <w:color w:val="000000"/>
                <w:kern w:val="0"/>
                <w:sz w:val="20"/>
                <w:szCs w:val="20"/>
              </w:rPr>
              <w:t>10 I use appropriate tools from the Green Guidance Toolbox to use different dimensions of green guidance in my practice.</w:t>
            </w:r>
          </w:p>
        </w:tc>
        <w:tc>
          <w:tcPr>
            <w:tcW w:w="266"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66"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57"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70"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71"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r>
      <w:tr>
        <w:trPr>
          <w:trHeight w:val="550" w:hRule="atLeast"/>
        </w:trPr>
        <w:tc>
          <w:tcPr>
            <w:tcW w:w="9609" w:type="dxa"/>
            <w:gridSpan w:val="6"/>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Total score (4-20):</w:t>
            </w:r>
          </w:p>
          <w:p>
            <w:pPr>
              <w:pStyle w:val="Normal"/>
              <w:widowControl/>
              <w:spacing w:lineRule="auto" w:line="240" w:before="0" w:after="0"/>
              <w:jc w:val="start"/>
              <w:rPr>
                <w:sz w:val="20"/>
                <w:szCs w:val="20"/>
              </w:rPr>
            </w:pPr>
            <w:r>
              <w:rPr>
                <w:rFonts w:eastAsia="Times New Roman" w:cs="Times New Roman"/>
                <w:color w:val="000000"/>
                <w:kern w:val="0"/>
                <w:sz w:val="20"/>
                <w:szCs w:val="20"/>
              </w:rPr>
              <w:t>Priorities (next 3 months):</w:t>
            </w:r>
          </w:p>
          <w:p>
            <w:pPr>
              <w:pStyle w:val="Normal"/>
              <w:widowControl/>
              <w:spacing w:lineRule="auto" w:line="240" w:before="0" w:after="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pacing w:lineRule="auto" w:line="240" w:before="0" w:after="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pacing w:lineRule="auto" w:line="240" w:before="0" w:after="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pacing w:lineRule="auto" w:line="240" w:before="0" w:after="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pacing w:lineRule="auto" w:line="240" w:before="0" w:after="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tc>
      </w:tr>
    </w:tbl>
    <w:p>
      <w:pPr>
        <w:pStyle w:val="Standard"/>
        <w:rPr>
          <w:i/>
          <w:iCs/>
          <w:sz w:val="20"/>
          <w:szCs w:val="20"/>
          <w:highlight w:val="none"/>
          <w:lang w:val="en-US"/>
        </w:rPr>
      </w:pPr>
      <w:r>
        <w:rPr>
          <w:i/>
          <w:iCs/>
          <w:sz w:val="20"/>
          <w:szCs w:val="32"/>
          <w:lang w:val="en-US"/>
        </w:rPr>
        <w:t xml:space="preserve">Available resources: </w:t>
      </w:r>
    </w:p>
    <w:p>
      <w:pPr>
        <w:pStyle w:val="Standard"/>
        <w:numPr>
          <w:ilvl w:val="0"/>
          <w:numId w:val="3"/>
        </w:numPr>
        <w:rPr>
          <w:b w:val="false"/>
          <w:bCs w:val="false"/>
          <w:i w:val="false"/>
          <w:sz w:val="20"/>
          <w:szCs w:val="20"/>
          <w:lang w:val="en-US"/>
        </w:rPr>
      </w:pPr>
      <w:r>
        <w:rPr>
          <w:b w:val="false"/>
          <w:bCs w:val="false"/>
          <w:i w:val="false"/>
          <w:iCs w:val="false"/>
          <w:sz w:val="20"/>
          <w:szCs w:val="32"/>
          <w:lang w:val="en-US"/>
        </w:rPr>
        <w:t>Chapter 3 of the Green Guidance Handbook: How do our students and clients feel about green guidance?</w:t>
      </w:r>
    </w:p>
    <w:p>
      <w:pPr>
        <w:pStyle w:val="Standard"/>
        <w:numPr>
          <w:ilvl w:val="0"/>
          <w:numId w:val="3"/>
        </w:numPr>
        <w:rPr>
          <w:b w:val="false"/>
          <w:bCs w:val="false"/>
          <w:i w:val="false"/>
          <w:sz w:val="20"/>
          <w:szCs w:val="20"/>
          <w:highlight w:val="none"/>
          <w:lang w:val="en-US"/>
        </w:rPr>
      </w:pPr>
      <w:r>
        <w:rPr>
          <w:b w:val="false"/>
          <w:bCs w:val="false"/>
          <w:i w:val="false"/>
          <w:iCs w:val="false"/>
          <w:sz w:val="20"/>
          <w:szCs w:val="32"/>
          <w:lang w:val="en-US"/>
        </w:rPr>
        <w:t>Chapter 5 of the Green Guidance Handbook: How do I do green guidance? Working with individuals and groups</w:t>
      </w:r>
    </w:p>
    <w:p>
      <w:pPr>
        <w:pStyle w:val="Standard"/>
        <w:numPr>
          <w:ilvl w:val="0"/>
          <w:numId w:val="3"/>
        </w:numPr>
        <w:rPr>
          <w:b w:val="false"/>
          <w:bCs w:val="false"/>
          <w:i w:val="false"/>
          <w:sz w:val="20"/>
          <w:szCs w:val="20"/>
          <w:lang w:val="en-US"/>
        </w:rPr>
      </w:pPr>
      <w:r>
        <w:rPr>
          <w:b w:val="false"/>
          <w:bCs w:val="false"/>
          <w:i w:val="false"/>
          <w:iCs w:val="false"/>
          <w:sz w:val="20"/>
          <w:szCs w:val="32"/>
          <w:lang w:val="en-US"/>
        </w:rPr>
        <w:t xml:space="preserve">Green Guidance Toolbox: </w:t>
      </w:r>
      <w:hyperlink r:id="rId11">
        <w:r>
          <w:rPr>
            <w:rStyle w:val="Hyperlink"/>
            <w:b w:val="false"/>
            <w:bCs w:val="false"/>
            <w:i w:val="false"/>
            <w:iCs w:val="false"/>
            <w:sz w:val="20"/>
            <w:szCs w:val="32"/>
            <w:lang w:val="en-US"/>
          </w:rPr>
          <w:t>https://www.green-guidance.eu/methodologies</w:t>
        </w:r>
      </w:hyperlink>
      <w:r>
        <w:rPr>
          <w:b w:val="false"/>
          <w:bCs w:val="false"/>
          <w:i w:val="false"/>
          <w:iCs w:val="false"/>
          <w:sz w:val="20"/>
          <w:szCs w:val="32"/>
          <w:lang w:val="en-US"/>
        </w:rPr>
        <w:t xml:space="preserve">, expecially conversation starters </w:t>
      </w:r>
      <w:hyperlink r:id="rId12">
        <w:r>
          <w:rPr>
            <w:rStyle w:val="Hyperlink"/>
            <w:b w:val="false"/>
            <w:bCs w:val="false"/>
            <w:i w:val="false"/>
            <w:iCs w:val="false"/>
            <w:sz w:val="20"/>
            <w:szCs w:val="32"/>
            <w:lang w:val="en-US"/>
          </w:rPr>
          <w:t>https://www.green-guidance.eu/methodology/questions-and-conversation-starters/</w:t>
        </w:r>
      </w:hyperlink>
    </w:p>
    <w:p>
      <w:pPr>
        <w:pStyle w:val="Standard"/>
        <w:rPr>
          <w:bCs/>
          <w:i/>
          <w:sz w:val="20"/>
          <w:szCs w:val="20"/>
          <w:lang w:val="en-US" w:bidi="en-US"/>
          <w14:ligatures w14:val="none"/>
        </w:rPr>
      </w:pPr>
      <w:r>
        <w:rPr>
          <w:bCs/>
          <w:i/>
          <w:sz w:val="20"/>
          <w:szCs w:val="20"/>
          <w:lang w:val="en-US" w:bidi="en-US"/>
          <w14:ligatures w14:val="none"/>
        </w:rPr>
      </w:r>
    </w:p>
    <w:p>
      <w:pPr>
        <w:pStyle w:val="Standard"/>
        <w:rPr>
          <w:bCs/>
          <w:i/>
          <w:sz w:val="20"/>
          <w:szCs w:val="20"/>
          <w:lang w:val="en-US" w:bidi="en-US"/>
          <w14:ligatures w14:val="none"/>
        </w:rPr>
      </w:pPr>
      <w:r>
        <w:rPr>
          <w:bCs/>
          <w:i/>
          <w:sz w:val="20"/>
          <w:szCs w:val="20"/>
          <w:lang w:val="en-US" w:bidi="en-US"/>
          <w14:ligatures w14:val="none"/>
        </w:rPr>
      </w:r>
    </w:p>
    <w:tbl>
      <w:tblPr>
        <w:tblStyle w:val="780"/>
        <w:tblW w:w="9598" w:type="dxa"/>
        <w:jc w:val="start"/>
        <w:tblInd w:w="0" w:type="dxa"/>
        <w:tblLayout w:type="fixed"/>
        <w:tblCellMar>
          <w:top w:w="15" w:type="dxa"/>
          <w:start w:w="15" w:type="dxa"/>
          <w:bottom w:w="15" w:type="dxa"/>
          <w:end w:w="15" w:type="dxa"/>
        </w:tblCellMar>
        <w:tblLook w:val="04a0" w:noHBand="0" w:noVBand="1" w:firstColumn="1" w:lastRow="0" w:lastColumn="0" w:firstRow="1"/>
      </w:tblPr>
      <w:tblGrid>
        <w:gridCol w:w="8213"/>
        <w:gridCol w:w="281"/>
        <w:gridCol w:w="268"/>
        <w:gridCol w:w="284"/>
        <w:gridCol w:w="265"/>
        <w:gridCol w:w="287"/>
      </w:tblGrid>
      <w:tr>
        <w:trPr>
          <w:trHeight w:val="255" w:hRule="atLeast"/>
        </w:trPr>
        <w:tc>
          <w:tcPr>
            <w:tcW w:w="8213" w:type="dxa"/>
            <w:tcBorders/>
            <w:vAlign w:val="center"/>
          </w:tcPr>
          <w:p>
            <w:pPr>
              <w:pStyle w:val="Normal"/>
              <w:widowControl/>
              <w:spacing w:lineRule="auto" w:line="240" w:beforeAutospacing="0" w:before="0" w:afterAutospacing="0" w:after="0"/>
              <w:jc w:val="center"/>
              <w:rPr>
                <w:sz w:val="16"/>
                <w:szCs w:val="16"/>
              </w:rPr>
            </w:pPr>
            <w:r>
              <w:rPr>
                <w:rFonts w:eastAsia="Times New Roman" w:cs="Times New Roman"/>
                <w:b/>
                <w:color w:val="000000"/>
                <w:kern w:val="0"/>
                <w:sz w:val="20"/>
                <w:szCs w:val="20"/>
              </w:rPr>
              <w:t>C: Information resources</w:t>
            </w:r>
          </w:p>
        </w:tc>
        <w:tc>
          <w:tcPr>
            <w:tcW w:w="281" w:type="dxa"/>
            <w:tcBorders/>
            <w:vAlign w:val="center"/>
          </w:tcPr>
          <w:p>
            <w:pPr>
              <w:pStyle w:val="Normal"/>
              <w:widowControl/>
              <w:spacing w:lineRule="auto" w:line="240" w:beforeAutospacing="0" w:before="0" w:afterAutospacing="0" w:after="0"/>
              <w:jc w:val="center"/>
              <w:rPr>
                <w:sz w:val="16"/>
                <w:szCs w:val="16"/>
              </w:rPr>
            </w:pPr>
            <w:r>
              <w:rPr>
                <w:rFonts w:eastAsia="Times New Roman" w:cs="Times New Roman"/>
                <w:b/>
                <w:color w:val="000000"/>
                <w:kern w:val="0"/>
                <w:sz w:val="20"/>
                <w:szCs w:val="20"/>
              </w:rPr>
              <w:t>1</w:t>
            </w:r>
          </w:p>
        </w:tc>
        <w:tc>
          <w:tcPr>
            <w:tcW w:w="268" w:type="dxa"/>
            <w:tcBorders/>
            <w:vAlign w:val="center"/>
          </w:tcPr>
          <w:p>
            <w:pPr>
              <w:pStyle w:val="Normal"/>
              <w:widowControl/>
              <w:spacing w:lineRule="auto" w:line="240" w:beforeAutospacing="0" w:before="0" w:afterAutospacing="0" w:after="0"/>
              <w:jc w:val="center"/>
              <w:rPr>
                <w:sz w:val="16"/>
                <w:szCs w:val="16"/>
              </w:rPr>
            </w:pPr>
            <w:r>
              <w:rPr>
                <w:rFonts w:eastAsia="Times New Roman" w:cs="Times New Roman"/>
                <w:b/>
                <w:color w:val="000000"/>
                <w:kern w:val="0"/>
                <w:sz w:val="20"/>
                <w:szCs w:val="20"/>
              </w:rPr>
              <w:t>2</w:t>
            </w:r>
          </w:p>
        </w:tc>
        <w:tc>
          <w:tcPr>
            <w:tcW w:w="284" w:type="dxa"/>
            <w:tcBorders/>
            <w:vAlign w:val="center"/>
          </w:tcPr>
          <w:p>
            <w:pPr>
              <w:pStyle w:val="Normal"/>
              <w:widowControl/>
              <w:spacing w:lineRule="auto" w:line="240" w:beforeAutospacing="0" w:before="0" w:afterAutospacing="0" w:after="0"/>
              <w:jc w:val="center"/>
              <w:rPr>
                <w:sz w:val="16"/>
                <w:szCs w:val="16"/>
              </w:rPr>
            </w:pPr>
            <w:r>
              <w:rPr>
                <w:rFonts w:eastAsia="Times New Roman" w:cs="Times New Roman"/>
                <w:b/>
                <w:color w:val="000000"/>
                <w:kern w:val="0"/>
                <w:sz w:val="20"/>
                <w:szCs w:val="20"/>
              </w:rPr>
              <w:t>3</w:t>
            </w:r>
          </w:p>
        </w:tc>
        <w:tc>
          <w:tcPr>
            <w:tcW w:w="265" w:type="dxa"/>
            <w:tcBorders/>
            <w:vAlign w:val="center"/>
          </w:tcPr>
          <w:p>
            <w:pPr>
              <w:pStyle w:val="Normal"/>
              <w:widowControl/>
              <w:spacing w:lineRule="auto" w:line="240" w:beforeAutospacing="0" w:before="0" w:afterAutospacing="0" w:after="0"/>
              <w:jc w:val="center"/>
              <w:rPr>
                <w:sz w:val="16"/>
                <w:szCs w:val="16"/>
              </w:rPr>
            </w:pPr>
            <w:r>
              <w:rPr>
                <w:rFonts w:eastAsia="Times New Roman" w:cs="Times New Roman"/>
                <w:b/>
                <w:color w:val="000000"/>
                <w:kern w:val="0"/>
                <w:sz w:val="20"/>
                <w:szCs w:val="20"/>
              </w:rPr>
              <w:t>4</w:t>
            </w:r>
          </w:p>
        </w:tc>
        <w:tc>
          <w:tcPr>
            <w:tcW w:w="287" w:type="dxa"/>
            <w:tcBorders/>
            <w:vAlign w:val="center"/>
          </w:tcPr>
          <w:p>
            <w:pPr>
              <w:pStyle w:val="Normal"/>
              <w:widowControl/>
              <w:spacing w:lineRule="auto" w:line="240" w:beforeAutospacing="0" w:before="0" w:afterAutospacing="0" w:after="0"/>
              <w:jc w:val="center"/>
              <w:rPr>
                <w:sz w:val="16"/>
                <w:szCs w:val="16"/>
              </w:rPr>
            </w:pPr>
            <w:r>
              <w:rPr>
                <w:rFonts w:eastAsia="Times New Roman" w:cs="Times New Roman"/>
                <w:b/>
                <w:color w:val="000000"/>
                <w:kern w:val="0"/>
                <w:sz w:val="20"/>
                <w:szCs w:val="20"/>
              </w:rPr>
              <w:t>5</w:t>
            </w:r>
          </w:p>
        </w:tc>
      </w:tr>
      <w:tr>
        <w:trPr>
          <w:trHeight w:val="508" w:hRule="atLeast"/>
        </w:trPr>
        <w:tc>
          <w:tcPr>
            <w:tcW w:w="8213" w:type="dxa"/>
            <w:tcBorders/>
            <w:vAlign w:val="center"/>
          </w:tcPr>
          <w:p>
            <w:pPr>
              <w:pStyle w:val="Normal"/>
              <w:widowControl/>
              <w:spacing w:lineRule="auto" w:line="240" w:beforeAutospacing="0" w:before="0" w:afterAutospacing="0" w:after="0"/>
              <w:jc w:val="start"/>
              <w:rPr>
                <w:sz w:val="16"/>
                <w:szCs w:val="16"/>
              </w:rPr>
            </w:pPr>
            <w:r>
              <w:rPr>
                <w:rFonts w:eastAsia="Times New Roman" w:cs="Times New Roman"/>
                <w:color w:val="000000"/>
                <w:kern w:val="0"/>
                <w:sz w:val="20"/>
                <w:szCs w:val="20"/>
              </w:rPr>
              <w:t>11 I know (or collect / map) and can use resources about current/emerging green occupations, on how the green transformation affects sectors and occupations (not only explicitly “green jobs”) relevant to my clients.</w:t>
            </w:r>
          </w:p>
        </w:tc>
        <w:tc>
          <w:tcPr>
            <w:tcW w:w="281" w:type="dxa"/>
            <w:tcBorders/>
            <w:vAlign w:val="center"/>
          </w:tcPr>
          <w:p>
            <w:pPr>
              <w:pStyle w:val="Normal"/>
              <w:widowControl/>
              <w:spacing w:lineRule="auto" w:line="240" w:beforeAutospacing="0" w:before="0" w:afterAutospacing="0" w:after="0"/>
              <w:jc w:val="start"/>
              <w:rPr>
                <w:sz w:val="16"/>
                <w:szCs w:val="16"/>
              </w:rPr>
            </w:pPr>
            <w:r>
              <w:rPr>
                <w:rFonts w:eastAsia="Times New Roman" w:cs="Times New Roman"/>
                <w:color w:val="000000"/>
                <w:kern w:val="0"/>
                <w:sz w:val="20"/>
                <w:szCs w:val="20"/>
              </w:rPr>
              <w:t>☐</w:t>
            </w:r>
          </w:p>
        </w:tc>
        <w:tc>
          <w:tcPr>
            <w:tcW w:w="268" w:type="dxa"/>
            <w:tcBorders/>
            <w:vAlign w:val="center"/>
          </w:tcPr>
          <w:p>
            <w:pPr>
              <w:pStyle w:val="Normal"/>
              <w:widowControl/>
              <w:spacing w:lineRule="auto" w:line="240" w:beforeAutospacing="0" w:before="0" w:afterAutospacing="0" w:after="0"/>
              <w:jc w:val="start"/>
              <w:rPr>
                <w:sz w:val="16"/>
                <w:szCs w:val="16"/>
              </w:rPr>
            </w:pPr>
            <w:r>
              <w:rPr>
                <w:rFonts w:eastAsia="Times New Roman" w:cs="Times New Roman"/>
                <w:color w:val="000000"/>
                <w:kern w:val="0"/>
                <w:sz w:val="20"/>
                <w:szCs w:val="20"/>
              </w:rPr>
              <w:t>☐</w:t>
            </w:r>
          </w:p>
        </w:tc>
        <w:tc>
          <w:tcPr>
            <w:tcW w:w="284" w:type="dxa"/>
            <w:tcBorders/>
            <w:vAlign w:val="center"/>
          </w:tcPr>
          <w:p>
            <w:pPr>
              <w:pStyle w:val="Normal"/>
              <w:widowControl/>
              <w:spacing w:lineRule="auto" w:line="240" w:beforeAutospacing="0" w:before="0" w:afterAutospacing="0" w:after="0"/>
              <w:jc w:val="start"/>
              <w:rPr>
                <w:sz w:val="16"/>
                <w:szCs w:val="16"/>
              </w:rPr>
            </w:pPr>
            <w:r>
              <w:rPr>
                <w:rFonts w:eastAsia="Times New Roman" w:cs="Times New Roman"/>
                <w:color w:val="000000"/>
                <w:kern w:val="0"/>
                <w:sz w:val="20"/>
                <w:szCs w:val="20"/>
              </w:rPr>
              <w:t>☐</w:t>
            </w:r>
          </w:p>
        </w:tc>
        <w:tc>
          <w:tcPr>
            <w:tcW w:w="265" w:type="dxa"/>
            <w:tcBorders/>
            <w:vAlign w:val="center"/>
          </w:tcPr>
          <w:p>
            <w:pPr>
              <w:pStyle w:val="Normal"/>
              <w:widowControl/>
              <w:spacing w:lineRule="auto" w:line="240" w:beforeAutospacing="0" w:before="0" w:afterAutospacing="0" w:after="0"/>
              <w:jc w:val="start"/>
              <w:rPr>
                <w:sz w:val="16"/>
                <w:szCs w:val="16"/>
              </w:rPr>
            </w:pPr>
            <w:r>
              <w:rPr>
                <w:rFonts w:eastAsia="Times New Roman" w:cs="Times New Roman"/>
                <w:color w:val="000000"/>
                <w:kern w:val="0"/>
                <w:sz w:val="20"/>
                <w:szCs w:val="20"/>
              </w:rPr>
              <w:t>☐</w:t>
            </w:r>
          </w:p>
        </w:tc>
        <w:tc>
          <w:tcPr>
            <w:tcW w:w="287" w:type="dxa"/>
            <w:tcBorders/>
            <w:vAlign w:val="center"/>
          </w:tcPr>
          <w:p>
            <w:pPr>
              <w:pStyle w:val="Normal"/>
              <w:widowControl/>
              <w:spacing w:lineRule="auto" w:line="240" w:beforeAutospacing="0" w:before="0" w:afterAutospacing="0" w:after="0"/>
              <w:jc w:val="start"/>
              <w:rPr>
                <w:sz w:val="16"/>
                <w:szCs w:val="16"/>
              </w:rPr>
            </w:pPr>
            <w:r>
              <w:rPr>
                <w:rFonts w:eastAsia="Times New Roman" w:cs="Times New Roman"/>
                <w:color w:val="000000"/>
                <w:kern w:val="0"/>
                <w:sz w:val="20"/>
                <w:szCs w:val="20"/>
              </w:rPr>
              <w:t>☐</w:t>
            </w:r>
          </w:p>
        </w:tc>
      </w:tr>
      <w:tr>
        <w:trPr>
          <w:trHeight w:val="529" w:hRule="atLeast"/>
        </w:trPr>
        <w:tc>
          <w:tcPr>
            <w:tcW w:w="8213" w:type="dxa"/>
            <w:tcBorders/>
            <w:vAlign w:val="center"/>
          </w:tcPr>
          <w:p>
            <w:pPr>
              <w:pStyle w:val="Normal"/>
              <w:widowControl/>
              <w:spacing w:lineRule="auto" w:line="240" w:beforeAutospacing="0" w:before="0" w:afterAutospacing="0" w:after="0"/>
              <w:jc w:val="start"/>
              <w:rPr>
                <w:sz w:val="16"/>
                <w:szCs w:val="16"/>
              </w:rPr>
            </w:pPr>
            <w:r>
              <w:rPr>
                <w:rFonts w:eastAsia="Times New Roman" w:cs="Times New Roman"/>
                <w:color w:val="000000"/>
                <w:kern w:val="0"/>
                <w:sz w:val="20"/>
                <w:szCs w:val="20"/>
              </w:rPr>
              <w:t>12 I know (or collect / map) and use resources on current/emerging job opportunities linked to the green transition.</w:t>
            </w:r>
          </w:p>
        </w:tc>
        <w:tc>
          <w:tcPr>
            <w:tcW w:w="281" w:type="dxa"/>
            <w:tcBorders/>
            <w:vAlign w:val="center"/>
          </w:tcPr>
          <w:p>
            <w:pPr>
              <w:pStyle w:val="Normal"/>
              <w:widowControl/>
              <w:spacing w:lineRule="auto" w:line="240" w:beforeAutospacing="0" w:before="0" w:afterAutospacing="0" w:after="0"/>
              <w:jc w:val="start"/>
              <w:rPr>
                <w:sz w:val="16"/>
                <w:szCs w:val="16"/>
              </w:rPr>
            </w:pPr>
            <w:r>
              <w:rPr>
                <w:rFonts w:eastAsia="Times New Roman" w:cs="Times New Roman"/>
                <w:color w:val="000000"/>
                <w:kern w:val="0"/>
                <w:sz w:val="20"/>
                <w:szCs w:val="20"/>
              </w:rPr>
              <w:t>☐</w:t>
            </w:r>
          </w:p>
        </w:tc>
        <w:tc>
          <w:tcPr>
            <w:tcW w:w="268" w:type="dxa"/>
            <w:tcBorders/>
            <w:vAlign w:val="center"/>
          </w:tcPr>
          <w:p>
            <w:pPr>
              <w:pStyle w:val="Normal"/>
              <w:widowControl/>
              <w:spacing w:lineRule="auto" w:line="240" w:beforeAutospacing="0" w:before="0" w:afterAutospacing="0" w:after="0"/>
              <w:jc w:val="start"/>
              <w:rPr>
                <w:sz w:val="16"/>
                <w:szCs w:val="16"/>
              </w:rPr>
            </w:pPr>
            <w:r>
              <w:rPr>
                <w:rFonts w:eastAsia="Times New Roman" w:cs="Times New Roman"/>
                <w:color w:val="000000"/>
                <w:kern w:val="0"/>
                <w:sz w:val="20"/>
                <w:szCs w:val="20"/>
              </w:rPr>
              <w:t>☐</w:t>
            </w:r>
          </w:p>
        </w:tc>
        <w:tc>
          <w:tcPr>
            <w:tcW w:w="284" w:type="dxa"/>
            <w:tcBorders/>
            <w:vAlign w:val="center"/>
          </w:tcPr>
          <w:p>
            <w:pPr>
              <w:pStyle w:val="Normal"/>
              <w:widowControl/>
              <w:spacing w:lineRule="auto" w:line="240" w:beforeAutospacing="0" w:before="0" w:afterAutospacing="0" w:after="0"/>
              <w:jc w:val="start"/>
              <w:rPr>
                <w:sz w:val="16"/>
                <w:szCs w:val="16"/>
              </w:rPr>
            </w:pPr>
            <w:r>
              <w:rPr>
                <w:rFonts w:eastAsia="Times New Roman" w:cs="Times New Roman"/>
                <w:color w:val="000000"/>
                <w:kern w:val="0"/>
                <w:sz w:val="20"/>
                <w:szCs w:val="20"/>
              </w:rPr>
              <w:t>☐</w:t>
            </w:r>
          </w:p>
        </w:tc>
        <w:tc>
          <w:tcPr>
            <w:tcW w:w="265" w:type="dxa"/>
            <w:tcBorders/>
            <w:vAlign w:val="center"/>
          </w:tcPr>
          <w:p>
            <w:pPr>
              <w:pStyle w:val="Normal"/>
              <w:widowControl/>
              <w:spacing w:lineRule="auto" w:line="240" w:beforeAutospacing="0" w:before="0" w:afterAutospacing="0" w:after="0"/>
              <w:jc w:val="start"/>
              <w:rPr>
                <w:sz w:val="16"/>
                <w:szCs w:val="16"/>
              </w:rPr>
            </w:pPr>
            <w:r>
              <w:rPr>
                <w:rFonts w:eastAsia="Times New Roman" w:cs="Times New Roman"/>
                <w:color w:val="000000"/>
                <w:kern w:val="0"/>
                <w:sz w:val="20"/>
                <w:szCs w:val="20"/>
              </w:rPr>
              <w:t>☐</w:t>
            </w:r>
          </w:p>
        </w:tc>
        <w:tc>
          <w:tcPr>
            <w:tcW w:w="287" w:type="dxa"/>
            <w:tcBorders/>
            <w:vAlign w:val="center"/>
          </w:tcPr>
          <w:p>
            <w:pPr>
              <w:pStyle w:val="Normal"/>
              <w:widowControl/>
              <w:spacing w:lineRule="auto" w:line="240" w:beforeAutospacing="0" w:before="0" w:afterAutospacing="0" w:after="0"/>
              <w:jc w:val="start"/>
              <w:rPr>
                <w:sz w:val="16"/>
                <w:szCs w:val="16"/>
              </w:rPr>
            </w:pPr>
            <w:r>
              <w:rPr>
                <w:rFonts w:eastAsia="Times New Roman" w:cs="Times New Roman"/>
                <w:color w:val="000000"/>
                <w:kern w:val="0"/>
                <w:sz w:val="20"/>
                <w:szCs w:val="20"/>
              </w:rPr>
              <w:t>☐</w:t>
            </w:r>
          </w:p>
        </w:tc>
      </w:tr>
      <w:tr>
        <w:trPr>
          <w:trHeight w:val="536" w:hRule="atLeast"/>
        </w:trPr>
        <w:tc>
          <w:tcPr>
            <w:tcW w:w="8213" w:type="dxa"/>
            <w:tcBorders/>
            <w:vAlign w:val="center"/>
          </w:tcPr>
          <w:p>
            <w:pPr>
              <w:pStyle w:val="Normal"/>
              <w:widowControl/>
              <w:spacing w:lineRule="auto" w:line="240" w:beforeAutospacing="0" w:before="0" w:afterAutospacing="0" w:after="0"/>
              <w:jc w:val="start"/>
              <w:rPr>
                <w:sz w:val="16"/>
                <w:szCs w:val="16"/>
              </w:rPr>
            </w:pPr>
            <w:r>
              <w:rPr>
                <w:rFonts w:eastAsia="Times New Roman" w:cs="Times New Roman"/>
                <w:color w:val="000000"/>
                <w:kern w:val="0"/>
                <w:sz w:val="20"/>
                <w:szCs w:val="20"/>
              </w:rPr>
              <w:t>13 I know (or collect / map) and can use resources about training opportunities linked to the green transition.</w:t>
            </w:r>
          </w:p>
        </w:tc>
        <w:tc>
          <w:tcPr>
            <w:tcW w:w="281" w:type="dxa"/>
            <w:tcBorders/>
            <w:vAlign w:val="center"/>
          </w:tcPr>
          <w:p>
            <w:pPr>
              <w:pStyle w:val="Normal"/>
              <w:widowControl/>
              <w:spacing w:lineRule="auto" w:line="240" w:beforeAutospacing="0" w:before="0" w:afterAutospacing="0" w:after="0"/>
              <w:jc w:val="start"/>
              <w:rPr>
                <w:sz w:val="16"/>
                <w:szCs w:val="16"/>
              </w:rPr>
            </w:pPr>
            <w:r>
              <w:rPr>
                <w:rFonts w:eastAsia="Times New Roman" w:cs="Times New Roman"/>
                <w:color w:val="000000"/>
                <w:kern w:val="0"/>
                <w:sz w:val="20"/>
                <w:szCs w:val="20"/>
              </w:rPr>
              <w:t>☐</w:t>
            </w:r>
          </w:p>
        </w:tc>
        <w:tc>
          <w:tcPr>
            <w:tcW w:w="268" w:type="dxa"/>
            <w:tcBorders/>
            <w:vAlign w:val="center"/>
          </w:tcPr>
          <w:p>
            <w:pPr>
              <w:pStyle w:val="Normal"/>
              <w:widowControl/>
              <w:spacing w:lineRule="auto" w:line="240" w:beforeAutospacing="0" w:before="0" w:afterAutospacing="0" w:after="0"/>
              <w:jc w:val="start"/>
              <w:rPr>
                <w:sz w:val="16"/>
                <w:szCs w:val="16"/>
              </w:rPr>
            </w:pPr>
            <w:r>
              <w:rPr>
                <w:rFonts w:eastAsia="Times New Roman" w:cs="Times New Roman"/>
                <w:color w:val="000000"/>
                <w:kern w:val="0"/>
                <w:sz w:val="20"/>
                <w:szCs w:val="20"/>
              </w:rPr>
              <w:t>☐</w:t>
            </w:r>
          </w:p>
        </w:tc>
        <w:tc>
          <w:tcPr>
            <w:tcW w:w="284" w:type="dxa"/>
            <w:tcBorders/>
            <w:vAlign w:val="center"/>
          </w:tcPr>
          <w:p>
            <w:pPr>
              <w:pStyle w:val="Normal"/>
              <w:widowControl/>
              <w:spacing w:lineRule="auto" w:line="240" w:beforeAutospacing="0" w:before="0" w:afterAutospacing="0" w:after="0"/>
              <w:jc w:val="start"/>
              <w:rPr>
                <w:sz w:val="16"/>
                <w:szCs w:val="16"/>
              </w:rPr>
            </w:pPr>
            <w:r>
              <w:rPr>
                <w:rFonts w:eastAsia="Times New Roman" w:cs="Times New Roman"/>
                <w:color w:val="000000"/>
                <w:kern w:val="0"/>
                <w:sz w:val="20"/>
                <w:szCs w:val="20"/>
              </w:rPr>
              <w:t>☐</w:t>
            </w:r>
          </w:p>
        </w:tc>
        <w:tc>
          <w:tcPr>
            <w:tcW w:w="265" w:type="dxa"/>
            <w:tcBorders/>
            <w:vAlign w:val="center"/>
          </w:tcPr>
          <w:p>
            <w:pPr>
              <w:pStyle w:val="Normal"/>
              <w:widowControl/>
              <w:spacing w:lineRule="auto" w:line="240" w:beforeAutospacing="0" w:before="0" w:afterAutospacing="0" w:after="0"/>
              <w:jc w:val="start"/>
              <w:rPr>
                <w:sz w:val="16"/>
                <w:szCs w:val="16"/>
              </w:rPr>
            </w:pPr>
            <w:r>
              <w:rPr>
                <w:rFonts w:eastAsia="Times New Roman" w:cs="Times New Roman"/>
                <w:color w:val="000000"/>
                <w:kern w:val="0"/>
                <w:sz w:val="20"/>
                <w:szCs w:val="20"/>
              </w:rPr>
              <w:t>☐</w:t>
            </w:r>
          </w:p>
        </w:tc>
        <w:tc>
          <w:tcPr>
            <w:tcW w:w="287" w:type="dxa"/>
            <w:tcBorders/>
            <w:vAlign w:val="center"/>
          </w:tcPr>
          <w:p>
            <w:pPr>
              <w:pStyle w:val="Normal"/>
              <w:widowControl/>
              <w:spacing w:lineRule="auto" w:line="240" w:beforeAutospacing="0" w:before="0" w:afterAutospacing="0" w:after="0"/>
              <w:jc w:val="start"/>
              <w:rPr>
                <w:sz w:val="16"/>
                <w:szCs w:val="16"/>
              </w:rPr>
            </w:pPr>
            <w:r>
              <w:rPr>
                <w:rFonts w:eastAsia="Times New Roman" w:cs="Times New Roman"/>
                <w:color w:val="000000"/>
                <w:kern w:val="0"/>
                <w:sz w:val="20"/>
                <w:szCs w:val="20"/>
              </w:rPr>
              <w:t>☐</w:t>
            </w:r>
          </w:p>
        </w:tc>
      </w:tr>
      <w:tr>
        <w:trPr>
          <w:trHeight w:val="536" w:hRule="atLeast"/>
        </w:trPr>
        <w:tc>
          <w:tcPr>
            <w:tcW w:w="8213" w:type="dxa"/>
            <w:tcBorders/>
            <w:vAlign w:val="center"/>
          </w:tcPr>
          <w:p>
            <w:pPr>
              <w:pStyle w:val="Normal"/>
              <w:spacing w:lineRule="auto" w:line="240"/>
              <w:rPr>
                <w:rFonts w:eastAsia="Times New Roman" w:cs="Times New Roman"/>
                <w:color w:val="000000"/>
                <w:sz w:val="20"/>
                <w:szCs w:val="20"/>
              </w:rPr>
            </w:pPr>
            <w:r>
              <w:rPr>
                <w:rFonts w:eastAsia="Times New Roman" w:cs="Times New Roman"/>
                <w:color w:val="000000"/>
                <w:sz w:val="20"/>
                <w:szCs w:val="20"/>
              </w:rPr>
              <w:t>14 I include information about social economy, community initiatives, and alternative economic models (including mapping of existing local initiatives).</w:t>
            </w:r>
          </w:p>
        </w:tc>
        <w:tc>
          <w:tcPr>
            <w:tcW w:w="281" w:type="dxa"/>
            <w:tcBorders/>
            <w:vAlign w:val="center"/>
          </w:tcPr>
          <w:p>
            <w:pPr>
              <w:pStyle w:val="Normal"/>
              <w:widowControl/>
              <w:spacing w:lineRule="auto" w:line="240" w:beforeAutospacing="0" w:before="0" w:afterAutospacing="0" w:after="0"/>
              <w:jc w:val="start"/>
              <w:rPr>
                <w:sz w:val="20"/>
                <w:szCs w:val="20"/>
              </w:rPr>
            </w:pPr>
            <w:r>
              <w:rPr>
                <w:rFonts w:eastAsia="Times New Roman" w:cs="Times New Roman"/>
                <w:color w:val="000000"/>
                <w:kern w:val="0"/>
                <w:sz w:val="20"/>
                <w:szCs w:val="20"/>
              </w:rPr>
              <w:t>☐</w:t>
            </w:r>
          </w:p>
        </w:tc>
        <w:tc>
          <w:tcPr>
            <w:tcW w:w="268" w:type="dxa"/>
            <w:tcBorders/>
            <w:vAlign w:val="center"/>
          </w:tcPr>
          <w:p>
            <w:pPr>
              <w:pStyle w:val="Normal"/>
              <w:widowControl/>
              <w:spacing w:lineRule="auto" w:line="240" w:beforeAutospacing="0" w:before="0" w:afterAutospacing="0" w:after="0"/>
              <w:jc w:val="start"/>
              <w:rPr>
                <w:sz w:val="20"/>
                <w:szCs w:val="20"/>
              </w:rPr>
            </w:pPr>
            <w:r>
              <w:rPr>
                <w:rFonts w:eastAsia="Times New Roman" w:cs="Times New Roman"/>
                <w:color w:val="000000"/>
                <w:kern w:val="0"/>
                <w:sz w:val="20"/>
                <w:szCs w:val="20"/>
              </w:rPr>
              <w:t>☐</w:t>
            </w:r>
          </w:p>
        </w:tc>
        <w:tc>
          <w:tcPr>
            <w:tcW w:w="284" w:type="dxa"/>
            <w:tcBorders/>
            <w:vAlign w:val="center"/>
          </w:tcPr>
          <w:p>
            <w:pPr>
              <w:pStyle w:val="Normal"/>
              <w:widowControl/>
              <w:spacing w:lineRule="auto" w:line="240" w:beforeAutospacing="0" w:before="0" w:afterAutospacing="0" w:after="0"/>
              <w:jc w:val="start"/>
              <w:rPr>
                <w:sz w:val="20"/>
                <w:szCs w:val="20"/>
              </w:rPr>
            </w:pPr>
            <w:r>
              <w:rPr>
                <w:rFonts w:eastAsia="Times New Roman" w:cs="Times New Roman"/>
                <w:color w:val="000000"/>
                <w:kern w:val="0"/>
                <w:sz w:val="20"/>
                <w:szCs w:val="20"/>
              </w:rPr>
              <w:t>☐</w:t>
            </w:r>
          </w:p>
        </w:tc>
        <w:tc>
          <w:tcPr>
            <w:tcW w:w="265" w:type="dxa"/>
            <w:tcBorders/>
            <w:vAlign w:val="center"/>
          </w:tcPr>
          <w:p>
            <w:pPr>
              <w:pStyle w:val="Normal"/>
              <w:widowControl/>
              <w:spacing w:lineRule="auto" w:line="240" w:beforeAutospacing="0" w:before="0" w:afterAutospacing="0" w:after="0"/>
              <w:jc w:val="start"/>
              <w:rPr>
                <w:sz w:val="20"/>
                <w:szCs w:val="20"/>
              </w:rPr>
            </w:pPr>
            <w:r>
              <w:rPr>
                <w:rFonts w:eastAsia="Times New Roman" w:cs="Times New Roman"/>
                <w:color w:val="000000"/>
                <w:kern w:val="0"/>
                <w:sz w:val="20"/>
                <w:szCs w:val="20"/>
              </w:rPr>
              <w:t>☐</w:t>
            </w:r>
          </w:p>
        </w:tc>
        <w:tc>
          <w:tcPr>
            <w:tcW w:w="287" w:type="dxa"/>
            <w:tcBorders/>
            <w:vAlign w:val="center"/>
          </w:tcPr>
          <w:p>
            <w:pPr>
              <w:pStyle w:val="Normal"/>
              <w:widowControl/>
              <w:spacing w:lineRule="auto" w:line="240" w:beforeAutospacing="0" w:before="0" w:afterAutospacing="0" w:after="0"/>
              <w:jc w:val="start"/>
              <w:rPr>
                <w:sz w:val="20"/>
                <w:szCs w:val="20"/>
              </w:rPr>
            </w:pPr>
            <w:r>
              <w:rPr>
                <w:rFonts w:eastAsia="Times New Roman" w:cs="Times New Roman"/>
                <w:color w:val="000000"/>
                <w:kern w:val="0"/>
                <w:sz w:val="20"/>
                <w:szCs w:val="20"/>
              </w:rPr>
              <w:t>☐</w:t>
            </w:r>
          </w:p>
        </w:tc>
      </w:tr>
      <w:tr>
        <w:trPr>
          <w:trHeight w:val="508" w:hRule="atLeast"/>
        </w:trPr>
        <w:tc>
          <w:tcPr>
            <w:tcW w:w="8213" w:type="dxa"/>
            <w:tcBorders/>
            <w:vAlign w:val="center"/>
          </w:tcPr>
          <w:p>
            <w:pPr>
              <w:pStyle w:val="Normal"/>
              <w:widowControl/>
              <w:spacing w:lineRule="auto" w:line="240" w:beforeAutospacing="0" w:before="0" w:afterAutospacing="0" w:after="0"/>
              <w:jc w:val="start"/>
              <w:rPr>
                <w:sz w:val="20"/>
                <w:szCs w:val="20"/>
              </w:rPr>
            </w:pPr>
            <w:r>
              <w:rPr>
                <w:rFonts w:eastAsia="Times New Roman" w:cs="Times New Roman"/>
                <w:color w:val="000000"/>
                <w:kern w:val="0"/>
                <w:sz w:val="20"/>
                <w:szCs w:val="20"/>
              </w:rPr>
              <w:t>15 I can connect clients to relevant community initiatives or professional networks focused on sustainability, social and ecological transformation.</w:t>
            </w:r>
          </w:p>
        </w:tc>
        <w:tc>
          <w:tcPr>
            <w:tcW w:w="281" w:type="dxa"/>
            <w:tcBorders/>
            <w:vAlign w:val="center"/>
          </w:tcPr>
          <w:p>
            <w:pPr>
              <w:pStyle w:val="Normal"/>
              <w:widowControl/>
              <w:spacing w:lineRule="auto" w:line="240" w:beforeAutospacing="0" w:before="0" w:afterAutospacing="0" w:after="0"/>
              <w:jc w:val="start"/>
              <w:rPr>
                <w:sz w:val="16"/>
                <w:szCs w:val="16"/>
              </w:rPr>
            </w:pPr>
            <w:r>
              <w:rPr>
                <w:rFonts w:eastAsia="Times New Roman" w:cs="Times New Roman"/>
                <w:color w:val="000000"/>
                <w:kern w:val="0"/>
                <w:sz w:val="20"/>
                <w:szCs w:val="20"/>
              </w:rPr>
              <w:t>☐</w:t>
            </w:r>
          </w:p>
        </w:tc>
        <w:tc>
          <w:tcPr>
            <w:tcW w:w="268" w:type="dxa"/>
            <w:tcBorders/>
            <w:vAlign w:val="center"/>
          </w:tcPr>
          <w:p>
            <w:pPr>
              <w:pStyle w:val="Normal"/>
              <w:widowControl/>
              <w:spacing w:lineRule="auto" w:line="240" w:beforeAutospacing="0" w:before="0" w:afterAutospacing="0" w:after="0"/>
              <w:jc w:val="start"/>
              <w:rPr>
                <w:sz w:val="16"/>
                <w:szCs w:val="16"/>
              </w:rPr>
            </w:pPr>
            <w:r>
              <w:rPr>
                <w:rFonts w:eastAsia="Times New Roman" w:cs="Times New Roman"/>
                <w:color w:val="000000"/>
                <w:kern w:val="0"/>
                <w:sz w:val="20"/>
                <w:szCs w:val="20"/>
              </w:rPr>
              <w:t>☐</w:t>
            </w:r>
          </w:p>
        </w:tc>
        <w:tc>
          <w:tcPr>
            <w:tcW w:w="284" w:type="dxa"/>
            <w:tcBorders/>
            <w:vAlign w:val="center"/>
          </w:tcPr>
          <w:p>
            <w:pPr>
              <w:pStyle w:val="Normal"/>
              <w:widowControl/>
              <w:spacing w:lineRule="auto" w:line="240" w:beforeAutospacing="0" w:before="0" w:afterAutospacing="0" w:after="0"/>
              <w:jc w:val="start"/>
              <w:rPr>
                <w:sz w:val="16"/>
                <w:szCs w:val="16"/>
              </w:rPr>
            </w:pPr>
            <w:r>
              <w:rPr>
                <w:rFonts w:eastAsia="Times New Roman" w:cs="Times New Roman"/>
                <w:color w:val="000000"/>
                <w:kern w:val="0"/>
                <w:sz w:val="20"/>
                <w:szCs w:val="20"/>
              </w:rPr>
              <w:t>☐</w:t>
            </w:r>
          </w:p>
        </w:tc>
        <w:tc>
          <w:tcPr>
            <w:tcW w:w="265" w:type="dxa"/>
            <w:tcBorders/>
            <w:vAlign w:val="center"/>
          </w:tcPr>
          <w:p>
            <w:pPr>
              <w:pStyle w:val="Normal"/>
              <w:widowControl/>
              <w:spacing w:lineRule="auto" w:line="240" w:beforeAutospacing="0" w:before="0" w:afterAutospacing="0" w:after="0"/>
              <w:jc w:val="start"/>
              <w:rPr>
                <w:sz w:val="16"/>
                <w:szCs w:val="16"/>
              </w:rPr>
            </w:pPr>
            <w:r>
              <w:rPr>
                <w:rFonts w:eastAsia="Times New Roman" w:cs="Times New Roman"/>
                <w:color w:val="000000"/>
                <w:kern w:val="0"/>
                <w:sz w:val="20"/>
                <w:szCs w:val="20"/>
              </w:rPr>
              <w:t>☐</w:t>
            </w:r>
          </w:p>
        </w:tc>
        <w:tc>
          <w:tcPr>
            <w:tcW w:w="287" w:type="dxa"/>
            <w:tcBorders/>
            <w:vAlign w:val="center"/>
          </w:tcPr>
          <w:p>
            <w:pPr>
              <w:pStyle w:val="Normal"/>
              <w:widowControl/>
              <w:spacing w:lineRule="auto" w:line="240" w:beforeAutospacing="0" w:before="0" w:afterAutospacing="0" w:after="0"/>
              <w:jc w:val="start"/>
              <w:rPr>
                <w:sz w:val="16"/>
                <w:szCs w:val="16"/>
              </w:rPr>
            </w:pPr>
            <w:r>
              <w:rPr>
                <w:rFonts w:eastAsia="Times New Roman" w:cs="Times New Roman"/>
                <w:color w:val="000000"/>
                <w:kern w:val="0"/>
                <w:sz w:val="20"/>
                <w:szCs w:val="20"/>
              </w:rPr>
              <w:t>☐</w:t>
            </w:r>
          </w:p>
        </w:tc>
      </w:tr>
      <w:tr>
        <w:trPr>
          <w:trHeight w:val="1241" w:hRule="atLeast"/>
        </w:trPr>
        <w:tc>
          <w:tcPr>
            <w:tcW w:w="9598" w:type="dxa"/>
            <w:gridSpan w:val="6"/>
            <w:tcBorders/>
            <w:vAlign w:val="center"/>
          </w:tcPr>
          <w:p>
            <w:pPr>
              <w:pStyle w:val="Normal"/>
              <w:widowControl/>
              <w:spacing w:lineRule="auto" w:line="240" w:beforeAutospacing="0" w:before="0" w:afterAutospacing="0" w:after="0"/>
              <w:jc w:val="start"/>
              <w:rPr>
                <w:sz w:val="16"/>
                <w:szCs w:val="16"/>
              </w:rPr>
            </w:pPr>
            <w:r>
              <w:rPr>
                <w:rFonts w:eastAsia="Times New Roman" w:cs="Times New Roman"/>
                <w:color w:val="000000"/>
                <w:kern w:val="0"/>
                <w:sz w:val="20"/>
                <w:szCs w:val="20"/>
              </w:rPr>
              <w:t>Total score (4-20):</w:t>
            </w:r>
          </w:p>
          <w:p>
            <w:pPr>
              <w:pStyle w:val="Normal"/>
              <w:widowControl/>
              <w:spacing w:lineRule="auto" w:line="240" w:beforeAutospacing="0" w:before="0" w:afterAutospacing="0" w:after="0"/>
              <w:jc w:val="start"/>
              <w:rPr>
                <w:sz w:val="20"/>
                <w:szCs w:val="20"/>
              </w:rPr>
            </w:pPr>
            <w:r>
              <w:rPr>
                <w:rFonts w:eastAsia="Times New Roman" w:cs="Times New Roman"/>
                <w:color w:val="000000"/>
                <w:kern w:val="0"/>
                <w:sz w:val="20"/>
                <w:szCs w:val="20"/>
              </w:rPr>
              <w:t>Priorities (next 3 months):</w:t>
            </w:r>
          </w:p>
          <w:p>
            <w:pPr>
              <w:pStyle w:val="Normal"/>
              <w:widowControl/>
              <w:spacing w:lineRule="auto" w:line="240" w:beforeAutospacing="0" w:before="0" w:afterAutospacing="0" w:after="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pacing w:lineRule="auto" w:line="240" w:beforeAutospacing="0" w:before="0" w:afterAutospacing="0" w:after="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pacing w:lineRule="auto" w:line="240" w:beforeAutospacing="0" w:before="0" w:afterAutospacing="0" w:after="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pacing w:lineRule="auto" w:line="240" w:beforeAutospacing="0" w:before="0" w:afterAutospacing="0" w:after="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pacing w:lineRule="auto" w:line="240" w:beforeAutospacing="0" w:before="0" w:afterAutospacing="0" w:after="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pacing w:lineRule="auto" w:line="240" w:beforeAutospacing="0" w:before="0" w:afterAutospacing="0" w:after="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pacing w:lineRule="auto" w:line="240" w:beforeAutospacing="0" w:before="0" w:afterAutospacing="0" w:after="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pacing w:lineRule="auto" w:line="240" w:beforeAutospacing="0" w:before="0" w:afterAutospacing="0" w:after="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pacing w:lineRule="auto" w:line="240" w:beforeAutospacing="0" w:before="0" w:afterAutospacing="0" w:after="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tc>
      </w:tr>
    </w:tbl>
    <w:p>
      <w:pPr>
        <w:pStyle w:val="Standard"/>
        <w:rPr>
          <w:i/>
          <w:iCs/>
          <w:sz w:val="20"/>
          <w:szCs w:val="20"/>
          <w:highlight w:val="none"/>
          <w:lang w:val="en-US"/>
        </w:rPr>
      </w:pPr>
      <w:r>
        <w:rPr>
          <w:i/>
          <w:iCs/>
          <w:sz w:val="20"/>
          <w:szCs w:val="32"/>
          <w:lang w:val="en-US"/>
        </w:rPr>
        <w:t xml:space="preserve">Available resources (non-exhaustive): </w:t>
      </w:r>
    </w:p>
    <w:p>
      <w:pPr>
        <w:pStyle w:val="Standard"/>
        <w:numPr>
          <w:ilvl w:val="0"/>
          <w:numId w:val="4"/>
        </w:numPr>
        <w:rPr>
          <w:bCs w:val="false"/>
          <w:i w:val="false"/>
          <w:sz w:val="20"/>
          <w:szCs w:val="20"/>
          <w:u w:val="none"/>
          <w:lang w:val="en-US"/>
        </w:rPr>
      </w:pPr>
      <w:r>
        <w:rPr>
          <w:bCs/>
          <w:i w:val="false"/>
          <w:iCs w:val="false"/>
          <w:sz w:val="20"/>
          <w:szCs w:val="20"/>
          <w:u w:val="none"/>
          <w:lang w:val="en-US"/>
        </w:rPr>
        <w:t xml:space="preserve">Introduction to green jobs: </w:t>
      </w:r>
      <w:hyperlink r:id="rId13">
        <w:r>
          <w:rPr>
            <w:rStyle w:val="Hyperlink"/>
            <w:bCs/>
            <w:i w:val="false"/>
            <w:iCs w:val="false"/>
            <w:sz w:val="20"/>
            <w:szCs w:val="20"/>
            <w:lang w:val="en-US"/>
          </w:rPr>
          <w:t>https://www.green-guidance.eu/methodology/introduction-to-green-jobs/</w:t>
        </w:r>
      </w:hyperlink>
    </w:p>
    <w:p>
      <w:pPr>
        <w:pStyle w:val="Standard"/>
        <w:numPr>
          <w:ilvl w:val="0"/>
          <w:numId w:val="4"/>
        </w:numPr>
        <w:rPr>
          <w:bCs w:val="false"/>
          <w:i w:val="false"/>
          <w:sz w:val="20"/>
          <w:szCs w:val="20"/>
          <w:u w:val="none"/>
          <w:lang w:val="en-US"/>
        </w:rPr>
      </w:pPr>
      <w:r>
        <w:rPr>
          <w:bCs/>
          <w:i w:val="false"/>
          <w:iCs w:val="false"/>
          <w:sz w:val="20"/>
          <w:szCs w:val="20"/>
          <w:u w:val="none"/>
          <w:lang w:val="en-US"/>
        </w:rPr>
        <w:t xml:space="preserve">Green Guidance Padlet: </w:t>
      </w:r>
      <w:hyperlink r:id="rId14">
        <w:r>
          <w:rPr>
            <w:rStyle w:val="Hyperlink"/>
            <w:bCs/>
            <w:i w:val="false"/>
            <w:iCs w:val="false"/>
            <w:sz w:val="20"/>
            <w:szCs w:val="20"/>
            <w:lang w:val="en-US"/>
          </w:rPr>
          <w:t>https://padlet.com/Mapa_Karier/exploring-green-guidance-resources-for-educators-en-ww4t99rctv71rat5</w:t>
        </w:r>
      </w:hyperlink>
    </w:p>
    <w:p>
      <w:pPr>
        <w:pStyle w:val="Standard"/>
        <w:numPr>
          <w:ilvl w:val="0"/>
          <w:numId w:val="4"/>
        </w:numPr>
        <w:rPr>
          <w:bCs w:val="false"/>
          <w:i w:val="false"/>
          <w:sz w:val="20"/>
          <w:szCs w:val="20"/>
          <w:u w:val="none"/>
          <w:lang w:val="en-US"/>
        </w:rPr>
      </w:pPr>
      <w:r>
        <w:rPr>
          <w:bCs w:val="false"/>
          <w:i w:val="false"/>
          <w:sz w:val="20"/>
          <w:szCs w:val="20"/>
          <w:u w:val="none"/>
          <w:lang w:val="en-US"/>
        </w:rPr>
        <w:t>Your own database of useful resources for your clients and students</w:t>
      </w:r>
    </w:p>
    <w:tbl>
      <w:tblPr>
        <w:tblStyle w:val="780"/>
        <w:tblW w:w="9598" w:type="dxa"/>
        <w:jc w:val="start"/>
        <w:tblInd w:w="0" w:type="dxa"/>
        <w:tblLayout w:type="fixed"/>
        <w:tblCellMar>
          <w:top w:w="15" w:type="dxa"/>
          <w:start w:w="15" w:type="dxa"/>
          <w:bottom w:w="15" w:type="dxa"/>
          <w:end w:w="15" w:type="dxa"/>
        </w:tblCellMar>
        <w:tblLook w:val="04a0" w:noHBand="0" w:noVBand="1" w:firstColumn="1" w:lastRow="0" w:lastColumn="0" w:firstRow="1"/>
      </w:tblPr>
      <w:tblGrid>
        <w:gridCol w:w="8213"/>
        <w:gridCol w:w="281"/>
        <w:gridCol w:w="268"/>
        <w:gridCol w:w="284"/>
        <w:gridCol w:w="265"/>
        <w:gridCol w:w="287"/>
      </w:tblGrid>
      <w:tr>
        <w:trPr>
          <w:tblHeader w:val="true"/>
          <w:trHeight w:val="262" w:hRule="atLeast"/>
        </w:trPr>
        <w:tc>
          <w:tcPr>
            <w:tcW w:w="8213" w:type="dxa"/>
            <w:tcBorders/>
            <w:vAlign w:val="center"/>
          </w:tcPr>
          <w:p>
            <w:pPr>
              <w:pStyle w:val="Normal"/>
              <w:widowControl/>
              <w:spacing w:lineRule="auto" w:line="240" w:before="0" w:after="0"/>
              <w:jc w:val="center"/>
              <w:rPr>
                <w:sz w:val="20"/>
                <w:szCs w:val="20"/>
              </w:rPr>
            </w:pPr>
            <w:r>
              <w:rPr>
                <w:rFonts w:eastAsia="Times New Roman" w:cs="Times New Roman"/>
                <w:b/>
                <w:color w:val="000000"/>
                <w:kern w:val="0"/>
                <w:sz w:val="20"/>
                <w:szCs w:val="20"/>
              </w:rPr>
              <w:t>D: Critical reflection, imagination &amp; transformation</w:t>
            </w:r>
          </w:p>
        </w:tc>
        <w:tc>
          <w:tcPr>
            <w:tcW w:w="281" w:type="dxa"/>
            <w:tcBorders/>
            <w:vAlign w:val="center"/>
          </w:tcPr>
          <w:p>
            <w:pPr>
              <w:pStyle w:val="Normal"/>
              <w:widowControl/>
              <w:spacing w:lineRule="auto" w:line="240" w:before="0" w:after="0"/>
              <w:jc w:val="center"/>
              <w:rPr>
                <w:sz w:val="16"/>
                <w:szCs w:val="16"/>
              </w:rPr>
            </w:pPr>
            <w:r>
              <w:rPr>
                <w:rFonts w:eastAsia="Times New Roman" w:cs="Times New Roman"/>
                <w:b/>
                <w:color w:val="000000"/>
                <w:kern w:val="0"/>
                <w:sz w:val="20"/>
                <w:szCs w:val="20"/>
              </w:rPr>
              <w:t>1</w:t>
            </w:r>
          </w:p>
        </w:tc>
        <w:tc>
          <w:tcPr>
            <w:tcW w:w="268" w:type="dxa"/>
            <w:tcBorders/>
            <w:vAlign w:val="center"/>
          </w:tcPr>
          <w:p>
            <w:pPr>
              <w:pStyle w:val="Normal"/>
              <w:widowControl/>
              <w:spacing w:lineRule="auto" w:line="240" w:before="0" w:after="0"/>
              <w:jc w:val="center"/>
              <w:rPr>
                <w:sz w:val="16"/>
                <w:szCs w:val="16"/>
              </w:rPr>
            </w:pPr>
            <w:r>
              <w:rPr>
                <w:rFonts w:eastAsia="Times New Roman" w:cs="Times New Roman"/>
                <w:b/>
                <w:color w:val="000000"/>
                <w:kern w:val="0"/>
                <w:sz w:val="20"/>
                <w:szCs w:val="20"/>
              </w:rPr>
              <w:t>2</w:t>
            </w:r>
          </w:p>
        </w:tc>
        <w:tc>
          <w:tcPr>
            <w:tcW w:w="284" w:type="dxa"/>
            <w:tcBorders/>
            <w:vAlign w:val="center"/>
          </w:tcPr>
          <w:p>
            <w:pPr>
              <w:pStyle w:val="Normal"/>
              <w:widowControl/>
              <w:spacing w:lineRule="auto" w:line="240" w:before="0" w:after="0"/>
              <w:jc w:val="center"/>
              <w:rPr>
                <w:sz w:val="16"/>
                <w:szCs w:val="16"/>
              </w:rPr>
            </w:pPr>
            <w:r>
              <w:rPr>
                <w:rFonts w:eastAsia="Times New Roman" w:cs="Times New Roman"/>
                <w:b/>
                <w:color w:val="000000"/>
                <w:kern w:val="0"/>
                <w:sz w:val="20"/>
                <w:szCs w:val="20"/>
              </w:rPr>
              <w:t>3</w:t>
            </w:r>
          </w:p>
        </w:tc>
        <w:tc>
          <w:tcPr>
            <w:tcW w:w="265" w:type="dxa"/>
            <w:tcBorders/>
            <w:vAlign w:val="center"/>
          </w:tcPr>
          <w:p>
            <w:pPr>
              <w:pStyle w:val="Normal"/>
              <w:widowControl/>
              <w:spacing w:lineRule="auto" w:line="240" w:before="0" w:after="0"/>
              <w:jc w:val="center"/>
              <w:rPr>
                <w:sz w:val="16"/>
                <w:szCs w:val="16"/>
              </w:rPr>
            </w:pPr>
            <w:r>
              <w:rPr>
                <w:rFonts w:eastAsia="Times New Roman" w:cs="Times New Roman"/>
                <w:b/>
                <w:color w:val="000000"/>
                <w:kern w:val="0"/>
                <w:sz w:val="20"/>
                <w:szCs w:val="20"/>
              </w:rPr>
              <w:t>4</w:t>
            </w:r>
          </w:p>
        </w:tc>
        <w:tc>
          <w:tcPr>
            <w:tcW w:w="287" w:type="dxa"/>
            <w:tcBorders/>
            <w:vAlign w:val="center"/>
          </w:tcPr>
          <w:p>
            <w:pPr>
              <w:pStyle w:val="Normal"/>
              <w:widowControl/>
              <w:spacing w:lineRule="auto" w:line="240" w:before="0" w:after="0"/>
              <w:jc w:val="center"/>
              <w:rPr>
                <w:sz w:val="16"/>
                <w:szCs w:val="16"/>
              </w:rPr>
            </w:pPr>
            <w:r>
              <w:rPr>
                <w:rFonts w:eastAsia="Times New Roman" w:cs="Times New Roman"/>
                <w:b/>
                <w:color w:val="000000"/>
                <w:kern w:val="0"/>
                <w:sz w:val="20"/>
                <w:szCs w:val="20"/>
              </w:rPr>
              <w:t>5</w:t>
            </w:r>
          </w:p>
        </w:tc>
      </w:tr>
      <w:tr>
        <w:trPr>
          <w:trHeight w:val="526" w:hRule="atLeast"/>
        </w:trPr>
        <w:tc>
          <w:tcPr>
            <w:tcW w:w="8213" w:type="dxa"/>
            <w:tcBorders/>
            <w:vAlign w:val="center"/>
          </w:tcPr>
          <w:p>
            <w:pPr>
              <w:pStyle w:val="Normal"/>
              <w:widowControl/>
              <w:spacing w:lineRule="auto" w:line="240" w:before="0" w:after="0"/>
              <w:jc w:val="start"/>
              <w:rPr>
                <w:sz w:val="20"/>
                <w:szCs w:val="20"/>
              </w:rPr>
            </w:pPr>
            <w:r>
              <w:rPr>
                <w:rFonts w:eastAsia="Times New Roman" w:cs="Times New Roman"/>
                <w:color w:val="000000"/>
                <w:kern w:val="0"/>
                <w:sz w:val="20"/>
                <w:szCs w:val="20"/>
              </w:rPr>
              <w:t>16 I help clients perceive social, political, and economic contradictions (critical consciousness) and think of how to act towards more social justice and sustainability.</w:t>
            </w:r>
          </w:p>
        </w:tc>
        <w:tc>
          <w:tcPr>
            <w:tcW w:w="281"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68"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84"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65"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87"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r>
      <w:tr>
        <w:trPr>
          <w:trHeight w:val="646" w:hRule="atLeast"/>
        </w:trPr>
        <w:tc>
          <w:tcPr>
            <w:tcW w:w="8213"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 xml:space="preserve">17 I facilitate discussions about dominant norms of success, competition, growth, conformity, performance, and constant change </w:t>
            </w:r>
            <w:r>
              <w:rPr>
                <w:rFonts w:eastAsia="Times New Roman" w:cs="Times New Roman"/>
                <w:color w:val="000000"/>
                <w:kern w:val="0"/>
                <w:sz w:val="20"/>
                <w:szCs w:val="20"/>
                <w:lang w:val="en-GB" w:eastAsia="zh-CN" w:bidi="hi-IN"/>
              </w:rPr>
              <w:t>to explore other alternatives that are mindful of the common good.</w:t>
            </w:r>
          </w:p>
        </w:tc>
        <w:tc>
          <w:tcPr>
            <w:tcW w:w="281"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c>
          <w:tcPr>
            <w:tcW w:w="268"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c>
          <w:tcPr>
            <w:tcW w:w="284"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c>
          <w:tcPr>
            <w:tcW w:w="265"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c>
          <w:tcPr>
            <w:tcW w:w="287"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r>
      <w:tr>
        <w:trPr>
          <w:trHeight w:val="558" w:hRule="atLeast"/>
        </w:trPr>
        <w:tc>
          <w:tcPr>
            <w:tcW w:w="8213" w:type="dxa"/>
            <w:tcBorders/>
            <w:vAlign w:val="center"/>
          </w:tcPr>
          <w:p>
            <w:pPr>
              <w:pStyle w:val="Normal"/>
              <w:widowControl/>
              <w:spacing w:lineRule="auto" w:line="240" w:before="0" w:after="0"/>
              <w:jc w:val="start"/>
              <w:rPr>
                <w:kern w:val="0"/>
                <w:sz w:val="20"/>
                <w:szCs w:val="20"/>
              </w:rPr>
            </w:pPr>
            <w:r>
              <w:rPr>
                <w:kern w:val="0"/>
                <w:sz w:val="20"/>
                <w:szCs w:val="20"/>
              </w:rPr>
              <w:t>18 I create space for clients to express emotions related to environmental and social crises and help clients navigate uncertainty related to ecological, economic and technological transitions.</w:t>
            </w:r>
          </w:p>
        </w:tc>
        <w:tc>
          <w:tcPr>
            <w:tcW w:w="281" w:type="dxa"/>
            <w:tcBorders/>
            <w:vAlign w:val="center"/>
          </w:tcPr>
          <w:p>
            <w:pPr>
              <w:pStyle w:val="Normal"/>
              <w:widowControl/>
              <w:suppressLineNumbers w:val="0"/>
              <w:spacing w:lineRule="auto" w:line="240" w:before="0" w:afterAutospacing="0" w:after="0"/>
              <w:ind w:end="0"/>
              <w:jc w:val="start"/>
              <w:rPr>
                <w:sz w:val="20"/>
                <w:szCs w:val="20"/>
              </w:rPr>
            </w:pPr>
            <w:r>
              <w:rPr>
                <w:rFonts w:eastAsia="Times New Roman" w:cs="Times New Roman"/>
                <w:color w:val="000000"/>
                <w:kern w:val="0"/>
                <w:sz w:val="20"/>
                <w:szCs w:val="20"/>
              </w:rPr>
              <w:t>☐</w:t>
            </w:r>
          </w:p>
        </w:tc>
        <w:tc>
          <w:tcPr>
            <w:tcW w:w="268" w:type="dxa"/>
            <w:tcBorders/>
            <w:vAlign w:val="center"/>
          </w:tcPr>
          <w:p>
            <w:pPr>
              <w:pStyle w:val="Normal"/>
              <w:widowControl/>
              <w:suppressLineNumbers w:val="0"/>
              <w:spacing w:lineRule="auto" w:line="240" w:before="0" w:afterAutospacing="0" w:after="0"/>
              <w:ind w:end="0"/>
              <w:jc w:val="start"/>
              <w:rPr>
                <w:sz w:val="20"/>
                <w:szCs w:val="20"/>
              </w:rPr>
            </w:pPr>
            <w:r>
              <w:rPr>
                <w:rFonts w:eastAsia="Times New Roman" w:cs="Times New Roman"/>
                <w:color w:val="000000"/>
                <w:kern w:val="0"/>
                <w:sz w:val="20"/>
                <w:szCs w:val="20"/>
              </w:rPr>
              <w:t>☐</w:t>
            </w:r>
          </w:p>
        </w:tc>
        <w:tc>
          <w:tcPr>
            <w:tcW w:w="284" w:type="dxa"/>
            <w:tcBorders/>
            <w:vAlign w:val="center"/>
          </w:tcPr>
          <w:p>
            <w:pPr>
              <w:pStyle w:val="Normal"/>
              <w:widowControl/>
              <w:suppressLineNumbers w:val="0"/>
              <w:spacing w:lineRule="auto" w:line="240" w:before="0" w:afterAutospacing="0" w:after="0"/>
              <w:ind w:end="0"/>
              <w:jc w:val="start"/>
              <w:rPr>
                <w:sz w:val="20"/>
                <w:szCs w:val="20"/>
              </w:rPr>
            </w:pPr>
            <w:r>
              <w:rPr>
                <w:rFonts w:eastAsia="Times New Roman" w:cs="Times New Roman"/>
                <w:color w:val="000000"/>
                <w:kern w:val="0"/>
                <w:sz w:val="20"/>
                <w:szCs w:val="20"/>
              </w:rPr>
              <w:t>☐</w:t>
            </w:r>
          </w:p>
        </w:tc>
        <w:tc>
          <w:tcPr>
            <w:tcW w:w="265" w:type="dxa"/>
            <w:tcBorders/>
            <w:vAlign w:val="center"/>
          </w:tcPr>
          <w:p>
            <w:pPr>
              <w:pStyle w:val="Normal"/>
              <w:widowControl/>
              <w:suppressLineNumbers w:val="0"/>
              <w:spacing w:lineRule="auto" w:line="240" w:before="0" w:afterAutospacing="0" w:after="0"/>
              <w:ind w:end="0"/>
              <w:jc w:val="start"/>
              <w:rPr>
                <w:sz w:val="20"/>
                <w:szCs w:val="20"/>
              </w:rPr>
            </w:pPr>
            <w:r>
              <w:rPr>
                <w:rFonts w:eastAsia="Times New Roman" w:cs="Times New Roman"/>
                <w:color w:val="000000"/>
                <w:kern w:val="0"/>
                <w:sz w:val="20"/>
                <w:szCs w:val="20"/>
              </w:rPr>
              <w:t>☐</w:t>
            </w:r>
          </w:p>
        </w:tc>
        <w:tc>
          <w:tcPr>
            <w:tcW w:w="287" w:type="dxa"/>
            <w:tcBorders/>
            <w:vAlign w:val="center"/>
          </w:tcPr>
          <w:p>
            <w:pPr>
              <w:pStyle w:val="Normal"/>
              <w:widowControl/>
              <w:suppressLineNumbers w:val="0"/>
              <w:spacing w:lineRule="auto" w:line="240" w:before="0" w:afterAutospacing="0" w:after="0"/>
              <w:ind w:end="0"/>
              <w:jc w:val="start"/>
              <w:rPr>
                <w:sz w:val="20"/>
                <w:szCs w:val="20"/>
              </w:rPr>
            </w:pPr>
            <w:r>
              <w:rPr>
                <w:rFonts w:eastAsia="Times New Roman" w:cs="Times New Roman"/>
                <w:color w:val="000000"/>
                <w:kern w:val="0"/>
                <w:sz w:val="20"/>
                <w:szCs w:val="20"/>
              </w:rPr>
              <w:t>☐</w:t>
            </w:r>
          </w:p>
        </w:tc>
      </w:tr>
      <w:tr>
        <w:trPr>
          <w:trHeight w:val="526" w:hRule="atLeast"/>
        </w:trPr>
        <w:tc>
          <w:tcPr>
            <w:tcW w:w="8213" w:type="dxa"/>
            <w:tcBorders/>
            <w:vAlign w:val="center"/>
          </w:tcPr>
          <w:p>
            <w:pPr>
              <w:pStyle w:val="Normal"/>
              <w:widowControl/>
              <w:spacing w:lineRule="auto" w:line="240" w:before="0" w:after="0"/>
              <w:jc w:val="start"/>
              <w:rPr>
                <w:sz w:val="20"/>
                <w:szCs w:val="20"/>
              </w:rPr>
            </w:pPr>
            <w:r>
              <w:rPr>
                <w:rFonts w:eastAsia="Times New Roman" w:cs="Times New Roman"/>
                <w:color w:val="000000"/>
                <w:kern w:val="0"/>
                <w:sz w:val="20"/>
                <w:szCs w:val="20"/>
              </w:rPr>
              <w:t>19 I help clients envision desirable, sustainable futures and professional lives and develop sustainable imaginaries.</w:t>
            </w:r>
          </w:p>
        </w:tc>
        <w:tc>
          <w:tcPr>
            <w:tcW w:w="281"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c>
          <w:tcPr>
            <w:tcW w:w="268"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c>
          <w:tcPr>
            <w:tcW w:w="284"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c>
          <w:tcPr>
            <w:tcW w:w="265"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c>
          <w:tcPr>
            <w:tcW w:w="287"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r>
      <w:tr>
        <w:trPr>
          <w:trHeight w:val="526" w:hRule="atLeast"/>
        </w:trPr>
        <w:tc>
          <w:tcPr>
            <w:tcW w:w="8213" w:type="dxa"/>
            <w:tcBorders/>
            <w:vAlign w:val="center"/>
          </w:tcPr>
          <w:p>
            <w:pPr>
              <w:pStyle w:val="Normal"/>
              <w:widowControl/>
              <w:spacing w:lineRule="auto" w:line="240" w:before="0" w:after="0"/>
              <w:jc w:val="start"/>
              <w:rPr>
                <w:sz w:val="20"/>
                <w:szCs w:val="20"/>
              </w:rPr>
            </w:pPr>
            <w:r>
              <w:rPr>
                <w:rFonts w:eastAsia="Times New Roman" w:cs="Times New Roman"/>
                <w:color w:val="000000"/>
                <w:kern w:val="0"/>
                <w:sz w:val="20"/>
                <w:szCs w:val="20"/>
              </w:rPr>
              <w:t>20 I support clients to recognise limits to individual action and consider collective routes to social transformation (community initiatives, sustainability networks, trade unions, solidarity organising...).</w:t>
            </w:r>
          </w:p>
        </w:tc>
        <w:tc>
          <w:tcPr>
            <w:tcW w:w="281"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c>
          <w:tcPr>
            <w:tcW w:w="268"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c>
          <w:tcPr>
            <w:tcW w:w="284"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c>
          <w:tcPr>
            <w:tcW w:w="265"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c>
          <w:tcPr>
            <w:tcW w:w="287"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r>
      <w:tr>
        <w:trPr>
          <w:trHeight w:val="2106" w:hRule="atLeast"/>
        </w:trPr>
        <w:tc>
          <w:tcPr>
            <w:tcW w:w="9598" w:type="dxa"/>
            <w:gridSpan w:val="6"/>
            <w:tcBorders/>
            <w:vAlign w:val="center"/>
          </w:tcPr>
          <w:p>
            <w:pPr>
              <w:pStyle w:val="Normal"/>
              <w:widowControl/>
              <w:spacing w:lineRule="auto" w:line="240" w:beforeAutospacing="0" w:before="0" w:afterAutospacing="0" w:after="0"/>
              <w:jc w:val="start"/>
              <w:rPr>
                <w:sz w:val="20"/>
                <w:szCs w:val="20"/>
              </w:rPr>
            </w:pPr>
            <w:r>
              <w:rPr>
                <w:rFonts w:eastAsia="Times New Roman" w:cs="Times New Roman"/>
                <w:color w:val="000000"/>
                <w:kern w:val="0"/>
                <w:sz w:val="20"/>
                <w:szCs w:val="20"/>
              </w:rPr>
              <w:t>Total score (4-20):</w:t>
            </w:r>
          </w:p>
          <w:p>
            <w:pPr>
              <w:pStyle w:val="Normal"/>
              <w:widowControl/>
              <w:spacing w:lineRule="auto" w:line="240" w:beforeAutospacing="0" w:before="0" w:afterAutospacing="0" w:after="0"/>
              <w:jc w:val="start"/>
              <w:rPr>
                <w:sz w:val="20"/>
                <w:szCs w:val="20"/>
              </w:rPr>
            </w:pPr>
            <w:r>
              <w:rPr>
                <w:rFonts w:eastAsia="Times New Roman" w:cs="Times New Roman"/>
                <w:color w:val="000000"/>
                <w:kern w:val="0"/>
                <w:sz w:val="20"/>
                <w:szCs w:val="20"/>
              </w:rPr>
              <w:t>Priorities (next 3 months):</w:t>
            </w:r>
          </w:p>
          <w:p>
            <w:pPr>
              <w:pStyle w:val="Normal"/>
              <w:widowControl/>
              <w:suppressLineNumbers w:val="0"/>
              <w:spacing w:lineRule="auto" w:line="240" w:before="0" w:afterAutospacing="0" w:after="0"/>
              <w:ind w:end="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uppressLineNumbers w:val="0"/>
              <w:spacing w:lineRule="auto" w:line="240" w:before="0" w:afterAutospacing="0" w:after="0"/>
              <w:ind w:end="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uppressLineNumbers w:val="0"/>
              <w:spacing w:lineRule="auto" w:line="240" w:before="0" w:afterAutospacing="0" w:after="0"/>
              <w:ind w:end="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uppressLineNumbers w:val="0"/>
              <w:spacing w:lineRule="auto" w:line="240" w:before="0" w:afterAutospacing="0" w:after="0"/>
              <w:ind w:end="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uppressLineNumbers w:val="0"/>
              <w:spacing w:lineRule="auto" w:line="240" w:before="0" w:afterAutospacing="0" w:after="0"/>
              <w:ind w:end="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uppressLineNumbers w:val="0"/>
              <w:spacing w:lineRule="auto" w:line="240" w:before="0" w:afterAutospacing="0" w:after="0"/>
              <w:ind w:end="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tc>
      </w:tr>
    </w:tbl>
    <w:p>
      <w:pPr>
        <w:pStyle w:val="Standard"/>
        <w:rPr>
          <w:i/>
          <w:iCs/>
          <w:sz w:val="20"/>
          <w:szCs w:val="20"/>
          <w:highlight w:val="none"/>
          <w:lang w:val="en-US"/>
        </w:rPr>
      </w:pPr>
      <w:r>
        <w:rPr>
          <w:i/>
          <w:iCs/>
          <w:sz w:val="20"/>
          <w:szCs w:val="32"/>
          <w:lang w:val="en-US"/>
        </w:rPr>
        <w:t xml:space="preserve">Available resources (non-exhaustive): </w:t>
      </w:r>
    </w:p>
    <w:p>
      <w:pPr>
        <w:pStyle w:val="Standard"/>
        <w:numPr>
          <w:ilvl w:val="0"/>
          <w:numId w:val="5"/>
        </w:numPr>
        <w:rPr>
          <w:sz w:val="20"/>
          <w:szCs w:val="20"/>
          <w:highlight w:val="none"/>
          <w:lang w:val="en-US"/>
        </w:rPr>
      </w:pPr>
      <w:r>
        <w:rPr>
          <w:sz w:val="20"/>
          <w:szCs w:val="20"/>
          <w:lang w:val="en-US" w:bidi="sk-SK"/>
        </w:rPr>
        <w:t>Chapter 2 of the Green Guidance Handbook: What is green guidance?</w:t>
      </w:r>
    </w:p>
    <w:p>
      <w:pPr>
        <w:pStyle w:val="Standard"/>
        <w:numPr>
          <w:ilvl w:val="0"/>
          <w:numId w:val="5"/>
        </w:numPr>
        <w:bidi w:val="0"/>
        <w:rPr>
          <w:sz w:val="20"/>
          <w:szCs w:val="20"/>
          <w:highlight w:val="none"/>
          <w:lang w:val="en-US"/>
        </w:rPr>
      </w:pPr>
      <w:r>
        <w:rPr>
          <w:sz w:val="20"/>
          <w:szCs w:val="20"/>
          <w:lang w:val="en-US" w:bidi="en-US"/>
        </w:rPr>
        <w:t xml:space="preserve">Resources and podcasts on alternatives: </w:t>
      </w:r>
      <w:hyperlink r:id="rId15">
        <w:r>
          <w:rPr>
            <w:rStyle w:val="Hyperlink"/>
            <w:sz w:val="20"/>
            <w:szCs w:val="20"/>
            <w:lang w:val="en-US" w:bidi="en-US"/>
          </w:rPr>
          <w:t>https://www.upstreampodcast.org/documentaries</w:t>
        </w:r>
      </w:hyperlink>
      <w:r>
        <w:rPr>
          <w:sz w:val="20"/>
          <w:szCs w:val="20"/>
          <w:lang w:val="en-US" w:bidi="en-US"/>
        </w:rPr>
        <w:t xml:space="preserve">, </w:t>
      </w:r>
      <w:hyperlink r:id="rId16">
        <w:r>
          <w:rPr>
            <w:rStyle w:val="Hyperlink"/>
            <w:sz w:val="20"/>
            <w:szCs w:val="20"/>
            <w:lang w:val="en-US" w:bidi="en-US"/>
          </w:rPr>
          <w:t>https://globaltapestryofalternatives.org/index</w:t>
        </w:r>
      </w:hyperlink>
      <w:r>
        <w:rPr>
          <w:sz w:val="20"/>
          <w:szCs w:val="20"/>
          <w:lang w:val="en-US" w:bidi="en-US"/>
        </w:rPr>
        <w:t xml:space="preserve">, </w:t>
      </w:r>
      <w:hyperlink r:id="rId17">
        <w:r>
          <w:rPr>
            <w:rStyle w:val="Hyperlink"/>
            <w:sz w:val="20"/>
            <w:szCs w:val="20"/>
            <w:lang w:val="en-US" w:bidi="en-US"/>
          </w:rPr>
          <w:t>https://degrowth.info/en</w:t>
        </w:r>
      </w:hyperlink>
      <w:r>
        <w:rPr>
          <w:sz w:val="20"/>
          <w:szCs w:val="20"/>
          <w:lang w:val="en-US" w:bidi="en-US"/>
        </w:rPr>
        <w:t xml:space="preserve">, </w:t>
      </w:r>
      <w:hyperlink r:id="rId18">
        <w:r>
          <w:rPr>
            <w:rStyle w:val="Hyperlink"/>
            <w:sz w:val="20"/>
            <w:szCs w:val="20"/>
            <w:lang w:val="en-US" w:bidi="en-US"/>
          </w:rPr>
          <w:t>https://weall.org/</w:t>
        </w:r>
      </w:hyperlink>
    </w:p>
    <w:p>
      <w:pPr>
        <w:pStyle w:val="Standard"/>
        <w:numPr>
          <w:ilvl w:val="0"/>
          <w:numId w:val="5"/>
        </w:numPr>
        <w:rPr>
          <w:sz w:val="20"/>
          <w:szCs w:val="20"/>
          <w:highlight w:val="none"/>
          <w:lang w:val="en-US"/>
        </w:rPr>
      </w:pPr>
      <w:r>
        <w:rPr>
          <w:sz w:val="20"/>
          <w:szCs w:val="20"/>
          <w:lang w:val="en-US" w:bidi="en-US"/>
        </w:rPr>
        <w:t>Green guidance toolbox: “Imagine and invent the world as you career” category</w:t>
      </w:r>
    </w:p>
    <w:p>
      <w:pPr>
        <w:pStyle w:val="Standard"/>
        <w:numPr>
          <w:ilvl w:val="0"/>
          <w:numId w:val="5"/>
        </w:numPr>
        <w:rPr>
          <w:sz w:val="20"/>
          <w:szCs w:val="20"/>
          <w:highlight w:val="none"/>
          <w:lang w:val="en-US"/>
        </w:rPr>
      </w:pPr>
      <w:r>
        <w:rPr>
          <w:sz w:val="20"/>
          <w:szCs w:val="20"/>
          <w:lang w:val="en-US" w:bidi="en-US"/>
        </w:rPr>
        <w:t>Your own map of local community initiatives linked to sustainability and social transformation</w:t>
      </w:r>
    </w:p>
    <w:p>
      <w:pPr>
        <w:pStyle w:val="Standard"/>
        <w:numPr>
          <w:ilvl w:val="0"/>
          <w:numId w:val="5"/>
        </w:numPr>
        <w:rPr>
          <w:sz w:val="20"/>
          <w:szCs w:val="20"/>
          <w:highlight w:val="none"/>
          <w:lang w:val="en-US"/>
        </w:rPr>
      </w:pPr>
      <w:r>
        <w:rPr>
          <w:sz w:val="20"/>
          <w:szCs w:val="20"/>
          <w:lang w:val="en-US" w:bidi="en-US"/>
        </w:rPr>
        <w:t xml:space="preserve">Free MOOCs such as  </w:t>
      </w:r>
      <w:hyperlink r:id="rId19">
        <w:r>
          <w:rPr>
            <w:rStyle w:val="Hyperlink"/>
            <w:sz w:val="20"/>
            <w:szCs w:val="20"/>
            <w:lang w:val="en-US" w:bidi="en-US"/>
          </w:rPr>
          <w:t>MOOC on the Social and Solidarity Economy</w:t>
        </w:r>
      </w:hyperlink>
    </w:p>
    <w:p>
      <w:pPr>
        <w:pStyle w:val="Standard"/>
        <w:rPr>
          <w:bCs/>
          <w:i/>
          <w:sz w:val="20"/>
          <w:szCs w:val="20"/>
          <w:lang w:val="en-US" w:bidi="en-US"/>
          <w14:ligatures w14:val="none"/>
        </w:rPr>
      </w:pPr>
      <w:r>
        <w:rPr>
          <w:bCs/>
          <w:i/>
          <w:sz w:val="20"/>
          <w:szCs w:val="20"/>
          <w:lang w:val="en-US" w:bidi="en-US"/>
          <w14:ligatures w14:val="none"/>
        </w:rPr>
      </w:r>
    </w:p>
    <w:p>
      <w:pPr>
        <w:pStyle w:val="Standard"/>
        <w:rPr>
          <w:bCs/>
          <w:i/>
          <w:sz w:val="20"/>
          <w:szCs w:val="20"/>
          <w:lang w:val="en-US" w:bidi="en-US"/>
          <w14:ligatures w14:val="none"/>
        </w:rPr>
      </w:pPr>
      <w:r>
        <w:rPr>
          <w:bCs/>
          <w:i/>
          <w:sz w:val="20"/>
          <w:szCs w:val="20"/>
          <w:lang w:val="en-US" w:bidi="en-US"/>
          <w14:ligatures w14:val="none"/>
        </w:rPr>
      </w:r>
    </w:p>
    <w:tbl>
      <w:tblPr>
        <w:tblStyle w:val="780"/>
        <w:tblW w:w="9598" w:type="dxa"/>
        <w:jc w:val="start"/>
        <w:tblInd w:w="0" w:type="dxa"/>
        <w:tblLayout w:type="fixed"/>
        <w:tblCellMar>
          <w:top w:w="15" w:type="dxa"/>
          <w:start w:w="15" w:type="dxa"/>
          <w:bottom w:w="15" w:type="dxa"/>
          <w:end w:w="15" w:type="dxa"/>
        </w:tblCellMar>
        <w:tblLook w:val="04a0" w:noHBand="0" w:noVBand="1" w:firstColumn="1" w:lastRow="0" w:lastColumn="0" w:firstRow="1"/>
      </w:tblPr>
      <w:tblGrid>
        <w:gridCol w:w="8213"/>
        <w:gridCol w:w="281"/>
        <w:gridCol w:w="268"/>
        <w:gridCol w:w="284"/>
        <w:gridCol w:w="265"/>
        <w:gridCol w:w="287"/>
      </w:tblGrid>
      <w:tr>
        <w:trPr>
          <w:tblHeader w:val="true"/>
          <w:trHeight w:val="262" w:hRule="atLeast"/>
        </w:trPr>
        <w:tc>
          <w:tcPr>
            <w:tcW w:w="8213" w:type="dxa"/>
            <w:tcBorders/>
            <w:vAlign w:val="center"/>
          </w:tcPr>
          <w:p>
            <w:pPr>
              <w:pStyle w:val="Normal"/>
              <w:widowControl/>
              <w:spacing w:lineRule="auto" w:line="240" w:before="0" w:after="0"/>
              <w:jc w:val="center"/>
              <w:rPr>
                <w:sz w:val="16"/>
                <w:szCs w:val="16"/>
              </w:rPr>
            </w:pPr>
            <w:r>
              <w:rPr>
                <w:rFonts w:eastAsia="Times New Roman" w:cs="Times New Roman"/>
                <w:b/>
                <w:color w:val="000000"/>
                <w:kern w:val="0"/>
                <w:sz w:val="20"/>
                <w:szCs w:val="20"/>
              </w:rPr>
              <w:t>E: Continuous Professional Development (CPD)</w:t>
            </w:r>
          </w:p>
        </w:tc>
        <w:tc>
          <w:tcPr>
            <w:tcW w:w="281" w:type="dxa"/>
            <w:tcBorders/>
            <w:vAlign w:val="center"/>
          </w:tcPr>
          <w:p>
            <w:pPr>
              <w:pStyle w:val="Normal"/>
              <w:widowControl/>
              <w:spacing w:lineRule="auto" w:line="240" w:before="0" w:after="0"/>
              <w:jc w:val="center"/>
              <w:rPr>
                <w:sz w:val="16"/>
                <w:szCs w:val="16"/>
              </w:rPr>
            </w:pPr>
            <w:r>
              <w:rPr>
                <w:rFonts w:eastAsia="Times New Roman" w:cs="Times New Roman"/>
                <w:b/>
                <w:color w:val="000000"/>
                <w:kern w:val="0"/>
                <w:sz w:val="20"/>
                <w:szCs w:val="20"/>
              </w:rPr>
              <w:t>1</w:t>
            </w:r>
          </w:p>
        </w:tc>
        <w:tc>
          <w:tcPr>
            <w:tcW w:w="268" w:type="dxa"/>
            <w:tcBorders/>
            <w:vAlign w:val="center"/>
          </w:tcPr>
          <w:p>
            <w:pPr>
              <w:pStyle w:val="Normal"/>
              <w:widowControl/>
              <w:spacing w:lineRule="auto" w:line="240" w:before="0" w:after="0"/>
              <w:jc w:val="center"/>
              <w:rPr>
                <w:sz w:val="16"/>
                <w:szCs w:val="16"/>
              </w:rPr>
            </w:pPr>
            <w:r>
              <w:rPr>
                <w:rFonts w:eastAsia="Times New Roman" w:cs="Times New Roman"/>
                <w:b/>
                <w:color w:val="000000"/>
                <w:kern w:val="0"/>
                <w:sz w:val="20"/>
                <w:szCs w:val="20"/>
              </w:rPr>
              <w:t>2</w:t>
            </w:r>
          </w:p>
        </w:tc>
        <w:tc>
          <w:tcPr>
            <w:tcW w:w="284" w:type="dxa"/>
            <w:tcBorders/>
            <w:vAlign w:val="center"/>
          </w:tcPr>
          <w:p>
            <w:pPr>
              <w:pStyle w:val="Normal"/>
              <w:widowControl/>
              <w:spacing w:lineRule="auto" w:line="240" w:before="0" w:after="0"/>
              <w:jc w:val="center"/>
              <w:rPr>
                <w:sz w:val="16"/>
                <w:szCs w:val="16"/>
              </w:rPr>
            </w:pPr>
            <w:r>
              <w:rPr>
                <w:rFonts w:eastAsia="Times New Roman" w:cs="Times New Roman"/>
                <w:b/>
                <w:color w:val="000000"/>
                <w:kern w:val="0"/>
                <w:sz w:val="20"/>
                <w:szCs w:val="20"/>
              </w:rPr>
              <w:t>3</w:t>
            </w:r>
          </w:p>
        </w:tc>
        <w:tc>
          <w:tcPr>
            <w:tcW w:w="265" w:type="dxa"/>
            <w:tcBorders/>
            <w:vAlign w:val="center"/>
          </w:tcPr>
          <w:p>
            <w:pPr>
              <w:pStyle w:val="Normal"/>
              <w:widowControl/>
              <w:spacing w:lineRule="auto" w:line="240" w:before="0" w:after="0"/>
              <w:jc w:val="center"/>
              <w:rPr>
                <w:sz w:val="16"/>
                <w:szCs w:val="16"/>
              </w:rPr>
            </w:pPr>
            <w:r>
              <w:rPr>
                <w:rFonts w:eastAsia="Times New Roman" w:cs="Times New Roman"/>
                <w:b/>
                <w:color w:val="000000"/>
                <w:kern w:val="0"/>
                <w:sz w:val="20"/>
                <w:szCs w:val="20"/>
              </w:rPr>
              <w:t>4</w:t>
            </w:r>
          </w:p>
        </w:tc>
        <w:tc>
          <w:tcPr>
            <w:tcW w:w="287" w:type="dxa"/>
            <w:tcBorders/>
            <w:vAlign w:val="center"/>
          </w:tcPr>
          <w:p>
            <w:pPr>
              <w:pStyle w:val="Normal"/>
              <w:widowControl/>
              <w:spacing w:lineRule="auto" w:line="240" w:before="0" w:after="0"/>
              <w:jc w:val="center"/>
              <w:rPr>
                <w:sz w:val="16"/>
                <w:szCs w:val="16"/>
              </w:rPr>
            </w:pPr>
            <w:r>
              <w:rPr>
                <w:rFonts w:eastAsia="Times New Roman" w:cs="Times New Roman"/>
                <w:b/>
                <w:color w:val="000000"/>
                <w:kern w:val="0"/>
                <w:sz w:val="20"/>
                <w:szCs w:val="20"/>
              </w:rPr>
              <w:t>5</w:t>
            </w:r>
          </w:p>
        </w:tc>
      </w:tr>
      <w:tr>
        <w:trPr>
          <w:trHeight w:val="526" w:hRule="atLeast"/>
        </w:trPr>
        <w:tc>
          <w:tcPr>
            <w:tcW w:w="8213" w:type="dxa"/>
            <w:tcBorders/>
            <w:vAlign w:val="center"/>
          </w:tcPr>
          <w:p>
            <w:pPr>
              <w:pStyle w:val="Normal"/>
              <w:widowControl/>
              <w:spacing w:lineRule="auto" w:line="240" w:before="0" w:after="0"/>
              <w:jc w:val="start"/>
              <w:rPr>
                <w:sz w:val="20"/>
                <w:szCs w:val="20"/>
              </w:rPr>
            </w:pPr>
            <w:r>
              <w:rPr>
                <w:rFonts w:eastAsia="Times New Roman" w:cs="Times New Roman"/>
                <w:color w:val="000000"/>
                <w:kern w:val="0"/>
                <w:sz w:val="20"/>
                <w:szCs w:val="20"/>
              </w:rPr>
              <w:t>21 I actively use the Green Guidance Toolbox, Handbook, impact report, case studies and other resources to enhance my practice.</w:t>
            </w:r>
          </w:p>
        </w:tc>
        <w:tc>
          <w:tcPr>
            <w:tcW w:w="281"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68"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84"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65"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87"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r>
      <w:tr>
        <w:trPr>
          <w:trHeight w:val="646" w:hRule="atLeast"/>
        </w:trPr>
        <w:tc>
          <w:tcPr>
            <w:tcW w:w="8213" w:type="dxa"/>
            <w:tcBorders/>
            <w:vAlign w:val="center"/>
          </w:tcPr>
          <w:p>
            <w:pPr>
              <w:pStyle w:val="Normal"/>
              <w:widowControl/>
              <w:spacing w:lineRule="auto" w:line="240" w:before="0" w:after="0"/>
              <w:jc w:val="start"/>
              <w:rPr>
                <w:sz w:val="20"/>
                <w:szCs w:val="20"/>
              </w:rPr>
            </w:pPr>
            <w:r>
              <w:rPr>
                <w:rFonts w:eastAsia="Times New Roman" w:cs="Times New Roman"/>
                <w:color w:val="000000"/>
                <w:kern w:val="0"/>
                <w:sz w:val="20"/>
                <w:szCs w:val="20"/>
              </w:rPr>
              <w:t>22 I engage in peer collaboration (intervision, supervision, exchange of good practices) related to Green Guidance.</w:t>
            </w:r>
          </w:p>
        </w:tc>
        <w:tc>
          <w:tcPr>
            <w:tcW w:w="281"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c>
          <w:tcPr>
            <w:tcW w:w="268"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c>
          <w:tcPr>
            <w:tcW w:w="284"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c>
          <w:tcPr>
            <w:tcW w:w="265"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c>
          <w:tcPr>
            <w:tcW w:w="287"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r>
      <w:tr>
        <w:trPr>
          <w:trHeight w:val="526" w:hRule="atLeast"/>
        </w:trPr>
        <w:tc>
          <w:tcPr>
            <w:tcW w:w="8213" w:type="dxa"/>
            <w:tcBorders/>
            <w:vAlign w:val="center"/>
          </w:tcPr>
          <w:p>
            <w:pPr>
              <w:pStyle w:val="Normal"/>
              <w:widowControl/>
              <w:spacing w:lineRule="auto" w:line="240" w:before="0" w:after="0"/>
              <w:jc w:val="start"/>
              <w:rPr>
                <w:sz w:val="20"/>
                <w:szCs w:val="20"/>
              </w:rPr>
            </w:pPr>
            <w:r>
              <w:rPr>
                <w:rFonts w:eastAsia="Times New Roman" w:cs="Times New Roman"/>
                <w:color w:val="000000"/>
                <w:kern w:val="0"/>
                <w:sz w:val="20"/>
                <w:szCs w:val="20"/>
              </w:rPr>
              <w:t>23 I pursue professional development opportunities related to Green Guidance.</w:t>
            </w:r>
          </w:p>
        </w:tc>
        <w:tc>
          <w:tcPr>
            <w:tcW w:w="281"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c>
          <w:tcPr>
            <w:tcW w:w="268"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c>
          <w:tcPr>
            <w:tcW w:w="284"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c>
          <w:tcPr>
            <w:tcW w:w="265"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c>
          <w:tcPr>
            <w:tcW w:w="287"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r>
      <w:tr>
        <w:trPr>
          <w:trHeight w:val="526" w:hRule="atLeast"/>
        </w:trPr>
        <w:tc>
          <w:tcPr>
            <w:tcW w:w="8213"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24 I experiment with new tools and methods integrating sustainability, track the results (methods used, impacts observed) to reflect and improve my practice.</w:t>
            </w:r>
          </w:p>
        </w:tc>
        <w:tc>
          <w:tcPr>
            <w:tcW w:w="281"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c>
          <w:tcPr>
            <w:tcW w:w="268"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c>
          <w:tcPr>
            <w:tcW w:w="284"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c>
          <w:tcPr>
            <w:tcW w:w="265"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c>
          <w:tcPr>
            <w:tcW w:w="287"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r>
      <w:tr>
        <w:trPr>
          <w:trHeight w:val="526" w:hRule="atLeast"/>
        </w:trPr>
        <w:tc>
          <w:tcPr>
            <w:tcW w:w="8213" w:type="dxa"/>
            <w:tcBorders/>
            <w:vAlign w:val="center"/>
          </w:tcPr>
          <w:p>
            <w:pPr>
              <w:pStyle w:val="Normal"/>
              <w:widowControl/>
              <w:spacing w:lineRule="auto" w:line="240" w:before="0" w:after="0"/>
              <w:jc w:val="start"/>
              <w:rPr>
                <w:kern w:val="0"/>
                <w:sz w:val="20"/>
                <w:szCs w:val="20"/>
              </w:rPr>
            </w:pPr>
            <w:r>
              <w:rPr>
                <w:kern w:val="0"/>
                <w:sz w:val="20"/>
                <w:szCs w:val="20"/>
              </w:rPr>
              <w:t>25 I contribute to sharing practices or developing knowledge on green guidance.</w:t>
            </w:r>
          </w:p>
        </w:tc>
        <w:tc>
          <w:tcPr>
            <w:tcW w:w="281" w:type="dxa"/>
            <w:tcBorders/>
            <w:vAlign w:val="center"/>
          </w:tcPr>
          <w:p>
            <w:pPr>
              <w:pStyle w:val="Normal"/>
              <w:widowControl/>
              <w:suppressLineNumbers w:val="0"/>
              <w:spacing w:lineRule="auto" w:line="240" w:before="0" w:afterAutospacing="0" w:after="0"/>
              <w:ind w:end="0"/>
              <w:jc w:val="start"/>
              <w:rPr>
                <w:sz w:val="20"/>
                <w:szCs w:val="20"/>
              </w:rPr>
            </w:pPr>
            <w:r>
              <w:rPr>
                <w:rFonts w:eastAsia="Times New Roman" w:cs="Times New Roman"/>
                <w:color w:val="000000"/>
                <w:kern w:val="0"/>
                <w:sz w:val="20"/>
                <w:szCs w:val="20"/>
              </w:rPr>
              <w:t>☐</w:t>
            </w:r>
          </w:p>
        </w:tc>
        <w:tc>
          <w:tcPr>
            <w:tcW w:w="268" w:type="dxa"/>
            <w:tcBorders/>
            <w:vAlign w:val="center"/>
          </w:tcPr>
          <w:p>
            <w:pPr>
              <w:pStyle w:val="Normal"/>
              <w:widowControl/>
              <w:suppressLineNumbers w:val="0"/>
              <w:spacing w:lineRule="auto" w:line="240" w:before="0" w:afterAutospacing="0" w:after="0"/>
              <w:ind w:end="0"/>
              <w:jc w:val="start"/>
              <w:rPr>
                <w:sz w:val="20"/>
                <w:szCs w:val="20"/>
              </w:rPr>
            </w:pPr>
            <w:r>
              <w:rPr>
                <w:rFonts w:eastAsia="Times New Roman" w:cs="Times New Roman"/>
                <w:color w:val="000000"/>
                <w:kern w:val="0"/>
                <w:sz w:val="20"/>
                <w:szCs w:val="20"/>
              </w:rPr>
              <w:t>☐</w:t>
            </w:r>
          </w:p>
        </w:tc>
        <w:tc>
          <w:tcPr>
            <w:tcW w:w="284" w:type="dxa"/>
            <w:tcBorders/>
            <w:vAlign w:val="center"/>
          </w:tcPr>
          <w:p>
            <w:pPr>
              <w:pStyle w:val="Normal"/>
              <w:widowControl/>
              <w:suppressLineNumbers w:val="0"/>
              <w:spacing w:lineRule="auto" w:line="240" w:before="0" w:afterAutospacing="0" w:after="0"/>
              <w:ind w:end="0"/>
              <w:jc w:val="start"/>
              <w:rPr>
                <w:sz w:val="20"/>
                <w:szCs w:val="20"/>
              </w:rPr>
            </w:pPr>
            <w:r>
              <w:rPr>
                <w:rFonts w:eastAsia="Times New Roman" w:cs="Times New Roman"/>
                <w:color w:val="000000"/>
                <w:kern w:val="0"/>
                <w:sz w:val="20"/>
                <w:szCs w:val="20"/>
              </w:rPr>
              <w:t>☐</w:t>
            </w:r>
          </w:p>
        </w:tc>
        <w:tc>
          <w:tcPr>
            <w:tcW w:w="265" w:type="dxa"/>
            <w:tcBorders/>
            <w:vAlign w:val="center"/>
          </w:tcPr>
          <w:p>
            <w:pPr>
              <w:pStyle w:val="Normal"/>
              <w:widowControl/>
              <w:suppressLineNumbers w:val="0"/>
              <w:spacing w:lineRule="auto" w:line="240" w:before="0" w:afterAutospacing="0" w:after="0"/>
              <w:ind w:end="0"/>
              <w:jc w:val="start"/>
              <w:rPr>
                <w:sz w:val="20"/>
                <w:szCs w:val="20"/>
              </w:rPr>
            </w:pPr>
            <w:r>
              <w:rPr>
                <w:rFonts w:eastAsia="Times New Roman" w:cs="Times New Roman"/>
                <w:color w:val="000000"/>
                <w:kern w:val="0"/>
                <w:sz w:val="20"/>
                <w:szCs w:val="20"/>
              </w:rPr>
              <w:t>☐</w:t>
            </w:r>
          </w:p>
        </w:tc>
        <w:tc>
          <w:tcPr>
            <w:tcW w:w="287" w:type="dxa"/>
            <w:tcBorders/>
            <w:vAlign w:val="center"/>
          </w:tcPr>
          <w:p>
            <w:pPr>
              <w:pStyle w:val="Normal"/>
              <w:widowControl/>
              <w:suppressLineNumbers w:val="0"/>
              <w:spacing w:lineRule="auto" w:line="240" w:before="0" w:afterAutospacing="0" w:after="0"/>
              <w:ind w:end="0"/>
              <w:jc w:val="start"/>
              <w:rPr>
                <w:sz w:val="20"/>
                <w:szCs w:val="20"/>
              </w:rPr>
            </w:pPr>
            <w:r>
              <w:rPr>
                <w:rFonts w:eastAsia="Times New Roman" w:cs="Times New Roman"/>
                <w:color w:val="000000"/>
                <w:kern w:val="0"/>
                <w:sz w:val="20"/>
                <w:szCs w:val="20"/>
              </w:rPr>
              <w:t>☐</w:t>
            </w:r>
          </w:p>
        </w:tc>
      </w:tr>
      <w:tr>
        <w:trPr>
          <w:trHeight w:val="1577" w:hRule="atLeast"/>
        </w:trPr>
        <w:tc>
          <w:tcPr>
            <w:tcW w:w="9598" w:type="dxa"/>
            <w:gridSpan w:val="6"/>
            <w:tcBorders/>
            <w:vAlign w:val="center"/>
          </w:tcPr>
          <w:p>
            <w:pPr>
              <w:pStyle w:val="Normal"/>
              <w:widowControl/>
              <w:spacing w:lineRule="auto" w:line="240" w:beforeAutospacing="0" w:before="0" w:afterAutospacing="0" w:after="0"/>
              <w:jc w:val="start"/>
              <w:rPr>
                <w:sz w:val="20"/>
                <w:szCs w:val="20"/>
              </w:rPr>
            </w:pPr>
            <w:r>
              <w:rPr>
                <w:rFonts w:eastAsia="Times New Roman" w:cs="Times New Roman"/>
                <w:color w:val="000000"/>
                <w:kern w:val="0"/>
                <w:sz w:val="20"/>
                <w:szCs w:val="20"/>
              </w:rPr>
              <w:t>Total score (4-20):</w:t>
            </w:r>
          </w:p>
          <w:p>
            <w:pPr>
              <w:pStyle w:val="Normal"/>
              <w:widowControl/>
              <w:spacing w:lineRule="auto" w:line="240" w:beforeAutospacing="0" w:before="0" w:afterAutospacing="0" w:after="0"/>
              <w:jc w:val="start"/>
              <w:rPr>
                <w:sz w:val="20"/>
                <w:szCs w:val="20"/>
              </w:rPr>
            </w:pPr>
            <w:r>
              <w:rPr>
                <w:rFonts w:eastAsia="Times New Roman" w:cs="Times New Roman"/>
                <w:color w:val="000000"/>
                <w:kern w:val="0"/>
                <w:sz w:val="20"/>
                <w:szCs w:val="20"/>
              </w:rPr>
              <w:t>Priorities (next 3 months)</w:t>
            </w:r>
          </w:p>
          <w:p>
            <w:pPr>
              <w:pStyle w:val="Normal"/>
              <w:widowControl/>
              <w:suppressLineNumbers w:val="0"/>
              <w:spacing w:lineRule="auto" w:line="240" w:before="0" w:afterAutospacing="0" w:after="0"/>
              <w:ind w:end="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uppressLineNumbers w:val="0"/>
              <w:spacing w:lineRule="auto" w:line="240" w:before="0" w:afterAutospacing="0" w:after="0"/>
              <w:ind w:end="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uppressLineNumbers w:val="0"/>
              <w:spacing w:lineRule="auto" w:line="240" w:before="0" w:afterAutospacing="0" w:after="0"/>
              <w:ind w:end="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uppressLineNumbers w:val="0"/>
              <w:spacing w:lineRule="auto" w:line="240" w:before="0" w:afterAutospacing="0" w:after="0"/>
              <w:ind w:end="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uppressLineNumbers w:val="0"/>
              <w:spacing w:lineRule="auto" w:line="240" w:before="0" w:afterAutospacing="0" w:after="0"/>
              <w:ind w:end="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tc>
      </w:tr>
    </w:tbl>
    <w:p>
      <w:pPr>
        <w:pStyle w:val="Standard"/>
        <w:rPr>
          <w:i/>
          <w:iCs/>
          <w:sz w:val="20"/>
          <w:szCs w:val="20"/>
          <w:highlight w:val="none"/>
          <w:lang w:val="en-US"/>
        </w:rPr>
      </w:pPr>
      <w:r>
        <w:rPr>
          <w:i/>
          <w:iCs/>
          <w:sz w:val="20"/>
          <w:szCs w:val="32"/>
          <w:lang w:val="en-US"/>
        </w:rPr>
        <w:t xml:space="preserve">Available resources (non-exhaustive): </w:t>
      </w:r>
    </w:p>
    <w:p>
      <w:pPr>
        <w:pStyle w:val="Standard"/>
        <w:numPr>
          <w:ilvl w:val="0"/>
          <w:numId w:val="7"/>
        </w:numPr>
        <w:rPr>
          <w:b w:val="false"/>
          <w:bCs w:val="false"/>
          <w:i w:val="false"/>
          <w:sz w:val="20"/>
          <w:szCs w:val="20"/>
          <w:lang w:val="en-US"/>
        </w:rPr>
      </w:pPr>
      <w:r>
        <w:rPr>
          <w:b w:val="false"/>
          <w:bCs w:val="false"/>
          <w:i w:val="false"/>
          <w:iCs w:val="false"/>
          <w:sz w:val="20"/>
          <w:szCs w:val="32"/>
          <w:lang w:val="en-US"/>
        </w:rPr>
        <w:t xml:space="preserve">Green Guidance Toolbox: </w:t>
      </w:r>
      <w:hyperlink r:id="rId20" w:tooltip="https://www.green-guidance.eu/methodologies">
        <w:r>
          <w:rPr>
            <w:rStyle w:val="Style"/>
            <w:b w:val="false"/>
            <w:bCs w:val="false"/>
            <w:i w:val="false"/>
            <w:iCs w:val="false"/>
            <w:sz w:val="20"/>
            <w:szCs w:val="32"/>
            <w:lang w:val="en-US"/>
          </w:rPr>
          <w:t>https://www.green-guidance.eu/methodologies</w:t>
        </w:r>
      </w:hyperlink>
    </w:p>
    <w:p>
      <w:pPr>
        <w:pStyle w:val="Standard"/>
        <w:numPr>
          <w:ilvl w:val="0"/>
          <w:numId w:val="7"/>
        </w:numPr>
        <w:rPr>
          <w:b w:val="false"/>
          <w:bCs w:val="false"/>
          <w:i w:val="false"/>
          <w:sz w:val="20"/>
          <w:szCs w:val="20"/>
          <w:lang w:val="en-US"/>
        </w:rPr>
      </w:pPr>
      <w:r>
        <w:rPr>
          <w:b w:val="false"/>
          <w:bCs w:val="false"/>
          <w:i w:val="false"/>
          <w:sz w:val="20"/>
          <w:szCs w:val="20"/>
          <w:lang w:val="en-US" w:bidi="en-US"/>
        </w:rPr>
        <w:t xml:space="preserve">Seeking input from clients on environmental issues tool: </w:t>
      </w:r>
      <w:hyperlink r:id="rId21" w:tooltip="https://www.green-guidance.eu/methodology/seeking-input-from-clients-on-environmental-issues/">
        <w:r>
          <w:rPr>
            <w:rStyle w:val="Style"/>
            <w:b w:val="false"/>
            <w:bCs w:val="false"/>
            <w:i w:val="false"/>
            <w:sz w:val="20"/>
            <w:szCs w:val="20"/>
            <w:lang w:val="en-US" w:bidi="en-US"/>
          </w:rPr>
          <w:t>https://www.green-guidance.eu/methodology/seeking-input-from-clients-on-environmental-issues/</w:t>
        </w:r>
      </w:hyperlink>
    </w:p>
    <w:p>
      <w:pPr>
        <w:pStyle w:val="Standard"/>
        <w:numPr>
          <w:ilvl w:val="0"/>
          <w:numId w:val="7"/>
        </w:numPr>
        <w:rPr>
          <w:b w:val="false"/>
          <w:bCs w:val="false"/>
          <w:i w:val="false"/>
          <w:sz w:val="20"/>
          <w:szCs w:val="20"/>
          <w:lang w:val="en-US"/>
        </w:rPr>
      </w:pPr>
      <w:r>
        <w:rPr>
          <w:b w:val="false"/>
          <w:bCs w:val="false"/>
          <w:i w:val="false"/>
          <w:sz w:val="20"/>
          <w:szCs w:val="20"/>
          <w:lang w:val="en-US" w:bidi="en-US"/>
        </w:rPr>
        <w:t>Your own tools that integrate sustainability dimension</w:t>
      </w:r>
    </w:p>
    <w:p>
      <w:pPr>
        <w:pStyle w:val="Standard"/>
        <w:numPr>
          <w:ilvl w:val="0"/>
          <w:numId w:val="7"/>
        </w:numPr>
        <w:bidi w:val="0"/>
        <w:rPr>
          <w:b w:val="false"/>
          <w:bCs w:val="false"/>
          <w:i w:val="false"/>
          <w:sz w:val="20"/>
          <w:szCs w:val="20"/>
          <w:lang w:val="en-US"/>
        </w:rPr>
      </w:pPr>
      <w:r>
        <w:rPr>
          <w:b w:val="false"/>
          <w:bCs w:val="false"/>
          <w:i w:val="false"/>
          <w:sz w:val="20"/>
          <w:szCs w:val="20"/>
          <w:lang w:val="en-US" w:bidi="en-US"/>
        </w:rPr>
        <w:t>Local communities of practitioners, such as “</w:t>
      </w:r>
      <w:hyperlink r:id="rId22">
        <w:r>
          <w:rPr>
            <w:rStyle w:val="Hyperlink"/>
            <w:b w:val="false"/>
            <w:bCs w:val="false"/>
            <w:i w:val="false"/>
            <w:sz w:val="20"/>
            <w:szCs w:val="20"/>
            <w:lang w:val="en-US" w:bidi="en-US"/>
          </w:rPr>
          <w:t>Guiding Green careers</w:t>
        </w:r>
      </w:hyperlink>
      <w:r>
        <w:rPr>
          <w:b w:val="false"/>
          <w:bCs w:val="false"/>
          <w:i w:val="false"/>
          <w:sz w:val="20"/>
          <w:szCs w:val="20"/>
          <w:lang w:val="en-US" w:bidi="en-US"/>
        </w:rPr>
        <w:t xml:space="preserve"> (English speaking)”, </w:t>
      </w:r>
      <w:hyperlink r:id="rId23">
        <w:r>
          <w:rPr>
            <w:rStyle w:val="Hyperlink"/>
            <w:b w:val="false"/>
            <w:bCs w:val="false"/>
            <w:i w:val="false"/>
            <w:sz w:val="20"/>
            <w:szCs w:val="20"/>
            <w:lang w:val="en-US" w:bidi="en-US"/>
          </w:rPr>
          <w:t>Lab Green Guidance</w:t>
        </w:r>
      </w:hyperlink>
      <w:r>
        <w:rPr>
          <w:b w:val="false"/>
          <w:bCs w:val="false"/>
          <w:i w:val="false"/>
          <w:sz w:val="20"/>
          <w:szCs w:val="20"/>
          <w:lang w:val="en-US" w:bidi="en-US"/>
        </w:rPr>
        <w:t xml:space="preserve"> (French speaking)</w:t>
      </w:r>
    </w:p>
    <w:p>
      <w:pPr>
        <w:pStyle w:val="Standard"/>
        <w:numPr>
          <w:ilvl w:val="0"/>
          <w:numId w:val="7"/>
        </w:numPr>
        <w:rPr>
          <w:b w:val="false"/>
          <w:bCs w:val="false"/>
          <w:i w:val="false"/>
          <w:sz w:val="20"/>
          <w:szCs w:val="20"/>
          <w:lang w:val="en-US"/>
        </w:rPr>
      </w:pPr>
      <w:r>
        <w:rPr>
          <w:b w:val="false"/>
          <w:bCs w:val="false"/>
          <w:i w:val="false"/>
          <w:sz w:val="20"/>
          <w:szCs w:val="20"/>
          <w:lang w:val="en-US" w:bidi="en-US"/>
        </w:rPr>
        <w:t>Share your tool or case study on the green-guidance.eu website (contact info@green-guidance.eu)</w:t>
      </w:r>
    </w:p>
    <w:p>
      <w:pPr>
        <w:pStyle w:val="Standard"/>
        <w:rPr>
          <w:bCs/>
          <w:i/>
          <w:sz w:val="20"/>
          <w:szCs w:val="20"/>
          <w:lang w:val="en-US" w:bidi="en-US"/>
          <w14:ligatures w14:val="none"/>
        </w:rPr>
      </w:pPr>
      <w:r>
        <w:rPr>
          <w:bCs/>
          <w:i/>
          <w:sz w:val="20"/>
          <w:szCs w:val="20"/>
          <w:lang w:val="en-US" w:bidi="en-US"/>
          <w14:ligatures w14:val="none"/>
        </w:rPr>
      </w:r>
    </w:p>
    <w:tbl>
      <w:tblPr>
        <w:tblStyle w:val="780"/>
        <w:tblW w:w="9598" w:type="dxa"/>
        <w:jc w:val="start"/>
        <w:tblInd w:w="0" w:type="dxa"/>
        <w:tblLayout w:type="fixed"/>
        <w:tblCellMar>
          <w:top w:w="15" w:type="dxa"/>
          <w:start w:w="15" w:type="dxa"/>
          <w:bottom w:w="15" w:type="dxa"/>
          <w:end w:w="15" w:type="dxa"/>
        </w:tblCellMar>
        <w:tblLook w:val="04a0" w:noHBand="0" w:noVBand="1" w:firstColumn="1" w:lastRow="0" w:lastColumn="0" w:firstRow="1"/>
      </w:tblPr>
      <w:tblGrid>
        <w:gridCol w:w="8213"/>
        <w:gridCol w:w="281"/>
        <w:gridCol w:w="268"/>
        <w:gridCol w:w="284"/>
        <w:gridCol w:w="265"/>
        <w:gridCol w:w="287"/>
      </w:tblGrid>
      <w:tr>
        <w:trPr>
          <w:tblHeader w:val="true"/>
          <w:trHeight w:val="262" w:hRule="atLeast"/>
        </w:trPr>
        <w:tc>
          <w:tcPr>
            <w:tcW w:w="8213" w:type="dxa"/>
            <w:tcBorders/>
            <w:vAlign w:val="center"/>
          </w:tcPr>
          <w:p>
            <w:pPr>
              <w:pStyle w:val="Normal"/>
              <w:widowControl/>
              <w:spacing w:lineRule="auto" w:line="240" w:before="0" w:after="0"/>
              <w:jc w:val="center"/>
              <w:rPr>
                <w:sz w:val="20"/>
                <w:szCs w:val="20"/>
              </w:rPr>
            </w:pPr>
            <w:r>
              <w:rPr>
                <w:rFonts w:eastAsia="Times New Roman" w:cs="Times New Roman"/>
                <w:b/>
                <w:color w:val="000000"/>
                <w:kern w:val="0"/>
                <w:sz w:val="20"/>
                <w:szCs w:val="20"/>
              </w:rPr>
              <w:t>F: Advocacy and coherence</w:t>
            </w:r>
          </w:p>
        </w:tc>
        <w:tc>
          <w:tcPr>
            <w:tcW w:w="281" w:type="dxa"/>
            <w:tcBorders/>
            <w:vAlign w:val="center"/>
          </w:tcPr>
          <w:p>
            <w:pPr>
              <w:pStyle w:val="Normal"/>
              <w:widowControl/>
              <w:spacing w:lineRule="auto" w:line="240" w:before="0" w:after="0"/>
              <w:jc w:val="center"/>
              <w:rPr>
                <w:sz w:val="16"/>
                <w:szCs w:val="16"/>
              </w:rPr>
            </w:pPr>
            <w:r>
              <w:rPr>
                <w:rFonts w:eastAsia="Times New Roman" w:cs="Times New Roman"/>
                <w:b/>
                <w:color w:val="000000"/>
                <w:kern w:val="0"/>
                <w:sz w:val="20"/>
                <w:szCs w:val="20"/>
              </w:rPr>
              <w:t>1</w:t>
            </w:r>
          </w:p>
        </w:tc>
        <w:tc>
          <w:tcPr>
            <w:tcW w:w="268" w:type="dxa"/>
            <w:tcBorders/>
            <w:vAlign w:val="center"/>
          </w:tcPr>
          <w:p>
            <w:pPr>
              <w:pStyle w:val="Normal"/>
              <w:widowControl/>
              <w:spacing w:lineRule="auto" w:line="240" w:before="0" w:after="0"/>
              <w:jc w:val="center"/>
              <w:rPr>
                <w:sz w:val="16"/>
                <w:szCs w:val="16"/>
              </w:rPr>
            </w:pPr>
            <w:r>
              <w:rPr>
                <w:rFonts w:eastAsia="Times New Roman" w:cs="Times New Roman"/>
                <w:b/>
                <w:color w:val="000000"/>
                <w:kern w:val="0"/>
                <w:sz w:val="20"/>
                <w:szCs w:val="20"/>
              </w:rPr>
              <w:t>2</w:t>
            </w:r>
          </w:p>
        </w:tc>
        <w:tc>
          <w:tcPr>
            <w:tcW w:w="284" w:type="dxa"/>
            <w:tcBorders/>
            <w:vAlign w:val="center"/>
          </w:tcPr>
          <w:p>
            <w:pPr>
              <w:pStyle w:val="Normal"/>
              <w:widowControl/>
              <w:spacing w:lineRule="auto" w:line="240" w:before="0" w:after="0"/>
              <w:jc w:val="center"/>
              <w:rPr>
                <w:sz w:val="16"/>
                <w:szCs w:val="16"/>
              </w:rPr>
            </w:pPr>
            <w:r>
              <w:rPr>
                <w:rFonts w:eastAsia="Times New Roman" w:cs="Times New Roman"/>
                <w:b/>
                <w:color w:val="000000"/>
                <w:kern w:val="0"/>
                <w:sz w:val="20"/>
                <w:szCs w:val="20"/>
              </w:rPr>
              <w:t>3</w:t>
            </w:r>
          </w:p>
        </w:tc>
        <w:tc>
          <w:tcPr>
            <w:tcW w:w="265" w:type="dxa"/>
            <w:tcBorders/>
            <w:vAlign w:val="center"/>
          </w:tcPr>
          <w:p>
            <w:pPr>
              <w:pStyle w:val="Normal"/>
              <w:widowControl/>
              <w:spacing w:lineRule="auto" w:line="240" w:before="0" w:after="0"/>
              <w:jc w:val="center"/>
              <w:rPr>
                <w:sz w:val="16"/>
                <w:szCs w:val="16"/>
              </w:rPr>
            </w:pPr>
            <w:r>
              <w:rPr>
                <w:rFonts w:eastAsia="Times New Roman" w:cs="Times New Roman"/>
                <w:b/>
                <w:color w:val="000000"/>
                <w:kern w:val="0"/>
                <w:sz w:val="20"/>
                <w:szCs w:val="20"/>
              </w:rPr>
              <w:t>4</w:t>
            </w:r>
          </w:p>
        </w:tc>
        <w:tc>
          <w:tcPr>
            <w:tcW w:w="287" w:type="dxa"/>
            <w:tcBorders/>
            <w:vAlign w:val="center"/>
          </w:tcPr>
          <w:p>
            <w:pPr>
              <w:pStyle w:val="Normal"/>
              <w:widowControl/>
              <w:spacing w:lineRule="auto" w:line="240" w:before="0" w:after="0"/>
              <w:jc w:val="center"/>
              <w:rPr>
                <w:sz w:val="16"/>
                <w:szCs w:val="16"/>
              </w:rPr>
            </w:pPr>
            <w:r>
              <w:rPr>
                <w:rFonts w:eastAsia="Times New Roman" w:cs="Times New Roman"/>
                <w:b/>
                <w:color w:val="000000"/>
                <w:kern w:val="0"/>
                <w:sz w:val="20"/>
                <w:szCs w:val="20"/>
              </w:rPr>
              <w:t>5</w:t>
            </w:r>
          </w:p>
        </w:tc>
      </w:tr>
      <w:tr>
        <w:trPr>
          <w:trHeight w:val="526" w:hRule="atLeast"/>
        </w:trPr>
        <w:tc>
          <w:tcPr>
            <w:tcW w:w="8213" w:type="dxa"/>
            <w:tcBorders/>
            <w:vAlign w:val="center"/>
          </w:tcPr>
          <w:p>
            <w:pPr>
              <w:pStyle w:val="Normal"/>
              <w:widowControl/>
              <w:spacing w:lineRule="auto" w:line="240" w:before="0" w:after="0"/>
              <w:jc w:val="start"/>
              <w:rPr>
                <w:sz w:val="20"/>
                <w:szCs w:val="20"/>
              </w:rPr>
            </w:pPr>
            <w:r>
              <w:rPr>
                <w:rFonts w:eastAsia="Times New Roman" w:cs="Times New Roman"/>
                <w:color w:val="000000"/>
                <w:kern w:val="0"/>
                <w:sz w:val="20"/>
                <w:szCs w:val="20"/>
              </w:rPr>
              <w:t>26 I advocate for environmental sustainability within my organisation and professional community.</w:t>
            </w:r>
          </w:p>
        </w:tc>
        <w:tc>
          <w:tcPr>
            <w:tcW w:w="281"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68"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84"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65"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87"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r>
      <w:tr>
        <w:trPr>
          <w:trHeight w:val="646" w:hRule="atLeast"/>
        </w:trPr>
        <w:tc>
          <w:tcPr>
            <w:tcW w:w="8213"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 xml:space="preserve">27 I collaborate with colleagues and peers to promote sustainability in career development </w:t>
            </w:r>
          </w:p>
        </w:tc>
        <w:tc>
          <w:tcPr>
            <w:tcW w:w="281"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c>
          <w:tcPr>
            <w:tcW w:w="268"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c>
          <w:tcPr>
            <w:tcW w:w="284"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c>
          <w:tcPr>
            <w:tcW w:w="265"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c>
          <w:tcPr>
            <w:tcW w:w="287"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r>
      <w:tr>
        <w:trPr>
          <w:trHeight w:val="646" w:hRule="atLeast"/>
        </w:trPr>
        <w:tc>
          <w:tcPr>
            <w:tcW w:w="8213" w:type="dxa"/>
            <w:tcBorders/>
            <w:vAlign w:val="center"/>
          </w:tcPr>
          <w:p>
            <w:pPr>
              <w:pStyle w:val="Normal"/>
              <w:spacing w:lineRule="auto" w:line="240"/>
              <w:rPr>
                <w:rFonts w:eastAsia="Times New Roman" w:cs="Times New Roman"/>
                <w:color w:val="000000"/>
                <w:sz w:val="20"/>
                <w:szCs w:val="20"/>
              </w:rPr>
            </w:pPr>
            <w:r>
              <w:rPr>
                <w:rFonts w:eastAsia="Times New Roman" w:cs="Times New Roman"/>
                <w:color w:val="000000"/>
                <w:sz w:val="20"/>
                <w:szCs w:val="20"/>
              </w:rPr>
              <w:t xml:space="preserve">28 I contribute to policy discussions or networks related to sustainable career guidance </w:t>
            </w:r>
            <w:r>
              <w:rPr>
                <w:rFonts w:eastAsia="Times New Roman" w:cs="Times New Roman"/>
                <w:color w:val="000000"/>
                <w:kern w:val="0"/>
                <w:sz w:val="20"/>
                <w:szCs w:val="20"/>
              </w:rPr>
              <w:t>(collaboration with associations, networks, companies, regulatory bodies, policy makers...)</w:t>
            </w:r>
            <w:r>
              <w:rPr>
                <w:rFonts w:eastAsia="Times New Roman" w:cs="Times New Roman"/>
                <w:color w:val="000000"/>
                <w:sz w:val="20"/>
                <w:szCs w:val="20"/>
              </w:rPr>
              <w:t>.</w:t>
            </w:r>
          </w:p>
        </w:tc>
        <w:tc>
          <w:tcPr>
            <w:tcW w:w="281" w:type="dxa"/>
            <w:tcBorders/>
            <w:vAlign w:val="center"/>
          </w:tcPr>
          <w:p>
            <w:pPr>
              <w:pStyle w:val="Normal"/>
              <w:widowControl/>
              <w:suppressLineNumbers w:val="0"/>
              <w:spacing w:lineRule="auto" w:line="240" w:before="0" w:afterAutospacing="0" w:after="0"/>
              <w:ind w:end="0"/>
              <w:jc w:val="start"/>
              <w:rPr>
                <w:sz w:val="20"/>
                <w:szCs w:val="20"/>
              </w:rPr>
            </w:pPr>
            <w:r>
              <w:rPr>
                <w:rFonts w:eastAsia="Times New Roman" w:cs="Times New Roman"/>
                <w:color w:val="000000"/>
                <w:kern w:val="0"/>
                <w:sz w:val="20"/>
                <w:szCs w:val="20"/>
              </w:rPr>
              <w:t>☐</w:t>
            </w:r>
          </w:p>
        </w:tc>
        <w:tc>
          <w:tcPr>
            <w:tcW w:w="268" w:type="dxa"/>
            <w:tcBorders/>
            <w:vAlign w:val="center"/>
          </w:tcPr>
          <w:p>
            <w:pPr>
              <w:pStyle w:val="Normal"/>
              <w:widowControl/>
              <w:suppressLineNumbers w:val="0"/>
              <w:spacing w:lineRule="auto" w:line="240" w:before="0" w:afterAutospacing="0" w:after="0"/>
              <w:ind w:end="0"/>
              <w:jc w:val="start"/>
              <w:rPr>
                <w:sz w:val="20"/>
                <w:szCs w:val="20"/>
              </w:rPr>
            </w:pPr>
            <w:r>
              <w:rPr>
                <w:rFonts w:eastAsia="Times New Roman" w:cs="Times New Roman"/>
                <w:color w:val="000000"/>
                <w:kern w:val="0"/>
                <w:sz w:val="20"/>
                <w:szCs w:val="20"/>
              </w:rPr>
              <w:t>☐</w:t>
            </w:r>
          </w:p>
        </w:tc>
        <w:tc>
          <w:tcPr>
            <w:tcW w:w="284" w:type="dxa"/>
            <w:tcBorders/>
            <w:vAlign w:val="center"/>
          </w:tcPr>
          <w:p>
            <w:pPr>
              <w:pStyle w:val="Normal"/>
              <w:widowControl/>
              <w:suppressLineNumbers w:val="0"/>
              <w:spacing w:lineRule="auto" w:line="240" w:before="0" w:afterAutospacing="0" w:after="0"/>
              <w:ind w:end="0"/>
              <w:jc w:val="start"/>
              <w:rPr>
                <w:sz w:val="20"/>
                <w:szCs w:val="20"/>
              </w:rPr>
            </w:pPr>
            <w:r>
              <w:rPr>
                <w:rFonts w:eastAsia="Times New Roman" w:cs="Times New Roman"/>
                <w:color w:val="000000"/>
                <w:kern w:val="0"/>
                <w:sz w:val="20"/>
                <w:szCs w:val="20"/>
              </w:rPr>
              <w:t>☐</w:t>
            </w:r>
          </w:p>
        </w:tc>
        <w:tc>
          <w:tcPr>
            <w:tcW w:w="265" w:type="dxa"/>
            <w:tcBorders/>
            <w:vAlign w:val="center"/>
          </w:tcPr>
          <w:p>
            <w:pPr>
              <w:pStyle w:val="Normal"/>
              <w:widowControl/>
              <w:suppressLineNumbers w:val="0"/>
              <w:spacing w:lineRule="auto" w:line="240" w:before="0" w:afterAutospacing="0" w:after="0"/>
              <w:ind w:end="0"/>
              <w:jc w:val="start"/>
              <w:rPr>
                <w:sz w:val="20"/>
                <w:szCs w:val="20"/>
              </w:rPr>
            </w:pPr>
            <w:r>
              <w:rPr>
                <w:rFonts w:eastAsia="Times New Roman" w:cs="Times New Roman"/>
                <w:color w:val="000000"/>
                <w:kern w:val="0"/>
                <w:sz w:val="20"/>
                <w:szCs w:val="20"/>
              </w:rPr>
              <w:t>☐</w:t>
            </w:r>
          </w:p>
        </w:tc>
        <w:tc>
          <w:tcPr>
            <w:tcW w:w="287" w:type="dxa"/>
            <w:tcBorders/>
            <w:vAlign w:val="center"/>
          </w:tcPr>
          <w:p>
            <w:pPr>
              <w:pStyle w:val="Normal"/>
              <w:widowControl/>
              <w:suppressLineNumbers w:val="0"/>
              <w:spacing w:lineRule="auto" w:line="240" w:before="0" w:afterAutospacing="0" w:after="0"/>
              <w:ind w:end="0"/>
              <w:jc w:val="start"/>
              <w:rPr>
                <w:sz w:val="20"/>
                <w:szCs w:val="20"/>
              </w:rPr>
            </w:pPr>
            <w:r>
              <w:rPr>
                <w:rFonts w:eastAsia="Times New Roman" w:cs="Times New Roman"/>
                <w:color w:val="000000"/>
                <w:kern w:val="0"/>
                <w:sz w:val="20"/>
                <w:szCs w:val="20"/>
              </w:rPr>
              <w:t>☐</w:t>
            </w:r>
          </w:p>
        </w:tc>
      </w:tr>
      <w:tr>
        <w:trPr>
          <w:trHeight w:val="526" w:hRule="atLeast"/>
        </w:trPr>
        <w:tc>
          <w:tcPr>
            <w:tcW w:w="8213" w:type="dxa"/>
            <w:tcBorders/>
            <w:vAlign w:val="center"/>
          </w:tcPr>
          <w:p>
            <w:pPr>
              <w:pStyle w:val="Normal"/>
              <w:widowControl/>
              <w:spacing w:lineRule="auto" w:line="240" w:before="0" w:after="0"/>
              <w:jc w:val="start"/>
              <w:rPr>
                <w:sz w:val="20"/>
                <w:szCs w:val="20"/>
              </w:rPr>
            </w:pPr>
            <w:r>
              <w:rPr>
                <w:rFonts w:eastAsia="Times New Roman" w:cs="Times New Roman"/>
                <w:color w:val="000000"/>
                <w:kern w:val="0"/>
                <w:sz w:val="20"/>
                <w:szCs w:val="20"/>
              </w:rPr>
              <w:t>29 I incorporate sustainable practices into my personal and professional life.</w:t>
            </w:r>
          </w:p>
        </w:tc>
        <w:tc>
          <w:tcPr>
            <w:tcW w:w="281"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c>
          <w:tcPr>
            <w:tcW w:w="268"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c>
          <w:tcPr>
            <w:tcW w:w="284"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c>
          <w:tcPr>
            <w:tcW w:w="265"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c>
          <w:tcPr>
            <w:tcW w:w="287"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r>
      <w:tr>
        <w:trPr>
          <w:trHeight w:val="526" w:hRule="atLeast"/>
        </w:trPr>
        <w:tc>
          <w:tcPr>
            <w:tcW w:w="8213" w:type="dxa"/>
            <w:tcBorders/>
            <w:vAlign w:val="center"/>
          </w:tcPr>
          <w:p>
            <w:pPr>
              <w:pStyle w:val="Normal"/>
              <w:widowControl/>
              <w:spacing w:lineRule="auto" w:line="240" w:before="0" w:after="0"/>
              <w:jc w:val="start"/>
              <w:rPr>
                <w:sz w:val="20"/>
                <w:szCs w:val="20"/>
              </w:rPr>
            </w:pPr>
            <w:r>
              <w:rPr>
                <w:rFonts w:eastAsia="Times New Roman" w:cs="Times New Roman"/>
                <w:color w:val="000000"/>
                <w:kern w:val="0"/>
                <w:sz w:val="20"/>
                <w:szCs w:val="20"/>
              </w:rPr>
              <w:t>30 I engage in collective initiatives (local/regional/national/international) on environmental crisis, social justice, and systemic change.</w:t>
            </w:r>
          </w:p>
        </w:tc>
        <w:tc>
          <w:tcPr>
            <w:tcW w:w="281"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c>
          <w:tcPr>
            <w:tcW w:w="268"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c>
          <w:tcPr>
            <w:tcW w:w="284"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c>
          <w:tcPr>
            <w:tcW w:w="265"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c>
          <w:tcPr>
            <w:tcW w:w="287"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r>
      <w:tr>
        <w:trPr>
          <w:trHeight w:val="2106" w:hRule="atLeast"/>
        </w:trPr>
        <w:tc>
          <w:tcPr>
            <w:tcW w:w="9598" w:type="dxa"/>
            <w:gridSpan w:val="6"/>
            <w:tcBorders/>
            <w:vAlign w:val="center"/>
          </w:tcPr>
          <w:p>
            <w:pPr>
              <w:pStyle w:val="Normal"/>
              <w:widowControl/>
              <w:spacing w:lineRule="auto" w:line="240" w:beforeAutospacing="0" w:before="0" w:afterAutospacing="0" w:after="0"/>
              <w:jc w:val="start"/>
              <w:rPr>
                <w:sz w:val="20"/>
                <w:szCs w:val="20"/>
              </w:rPr>
            </w:pPr>
            <w:r>
              <w:rPr>
                <w:rFonts w:eastAsia="Times New Roman" w:cs="Times New Roman"/>
                <w:color w:val="000000"/>
                <w:kern w:val="0"/>
                <w:sz w:val="20"/>
                <w:szCs w:val="20"/>
              </w:rPr>
              <w:t>Total score (4-20):</w:t>
            </w:r>
          </w:p>
          <w:p>
            <w:pPr>
              <w:pStyle w:val="Normal"/>
              <w:widowControl/>
              <w:spacing w:lineRule="auto" w:line="240" w:beforeAutospacing="0" w:before="0" w:afterAutospacing="0" w:after="0"/>
              <w:jc w:val="start"/>
              <w:rPr>
                <w:sz w:val="20"/>
                <w:szCs w:val="20"/>
              </w:rPr>
            </w:pPr>
            <w:r>
              <w:rPr>
                <w:rFonts w:eastAsia="Times New Roman" w:cs="Times New Roman"/>
                <w:color w:val="000000"/>
                <w:kern w:val="0"/>
                <w:sz w:val="20"/>
                <w:szCs w:val="20"/>
              </w:rPr>
              <w:t>Priorities (next 3 months):</w:t>
            </w:r>
          </w:p>
          <w:p>
            <w:pPr>
              <w:pStyle w:val="Normal"/>
              <w:widowControl/>
              <w:suppressLineNumbers w:val="0"/>
              <w:spacing w:lineRule="auto" w:line="240" w:before="0" w:afterAutospacing="0" w:after="0"/>
              <w:ind w:end="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uppressLineNumbers w:val="0"/>
              <w:spacing w:lineRule="auto" w:line="240" w:before="0" w:afterAutospacing="0" w:after="0"/>
              <w:ind w:end="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uppressLineNumbers w:val="0"/>
              <w:spacing w:lineRule="auto" w:line="240" w:before="0" w:afterAutospacing="0" w:after="0"/>
              <w:ind w:end="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uppressLineNumbers w:val="0"/>
              <w:spacing w:lineRule="auto" w:line="240" w:before="0" w:afterAutospacing="0" w:after="0"/>
              <w:ind w:end="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uppressLineNumbers w:val="0"/>
              <w:spacing w:lineRule="auto" w:line="240" w:before="0" w:afterAutospacing="0" w:after="0"/>
              <w:ind w:end="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uppressLineNumbers w:val="0"/>
              <w:spacing w:lineRule="auto" w:line="240" w:before="0" w:afterAutospacing="0" w:after="0"/>
              <w:ind w:end="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tc>
      </w:tr>
    </w:tbl>
    <w:p>
      <w:pPr>
        <w:pStyle w:val="Standard"/>
        <w:rPr>
          <w:bCs/>
          <w:i/>
          <w:szCs w:val="20"/>
          <w:lang w:val="en-US"/>
          <w14:ligatures w14:val="none"/>
        </w:rPr>
      </w:pPr>
      <w:r>
        <w:rPr>
          <w:i/>
          <w:iCs/>
          <w:sz w:val="20"/>
          <w:szCs w:val="20"/>
          <w:lang w:val="en-US" w:bidi="en-US"/>
        </w:rPr>
        <w:t xml:space="preserve">Available resources </w:t>
      </w:r>
      <w:r>
        <w:rPr>
          <w:i/>
          <w:iCs/>
          <w:sz w:val="20"/>
          <w:szCs w:val="32"/>
          <w:lang w:val="en-US" w:bidi="en-US"/>
        </w:rPr>
        <w:t xml:space="preserve"> (non-exhaustive)</w:t>
      </w:r>
      <w:r>
        <w:rPr>
          <w:i/>
          <w:iCs/>
          <w:sz w:val="20"/>
          <w:szCs w:val="20"/>
          <w:lang w:val="en-US" w:bidi="en-US"/>
        </w:rPr>
        <w:t xml:space="preserve">: </w:t>
      </w:r>
    </w:p>
    <w:p>
      <w:pPr>
        <w:pStyle w:val="Standard"/>
        <w:numPr>
          <w:ilvl w:val="0"/>
          <w:numId w:val="6"/>
        </w:numPr>
        <w:rPr>
          <w:b w:val="false"/>
          <w:bCs w:val="false"/>
          <w:i w:val="false"/>
          <w:szCs w:val="20"/>
          <w:highlight w:val="none"/>
          <w:lang w:val="en-US"/>
          <w14:ligatures w14:val="none"/>
        </w:rPr>
      </w:pPr>
      <w:r>
        <w:rPr>
          <w:b w:val="false"/>
          <w:bCs w:val="false"/>
          <w:i w:val="false"/>
          <w:iCs w:val="false"/>
          <w:sz w:val="20"/>
          <w:szCs w:val="20"/>
          <w:lang w:val="en-US" w:bidi="en-US"/>
        </w:rPr>
        <w:t xml:space="preserve">Individual carbon footprint and individual behaviour (but be aware of the systemic nature of the ecological crisis): </w:t>
      </w:r>
      <w:hyperlink r:id="rId24">
        <w:r>
          <w:rPr>
            <w:rStyle w:val="Hyperlink"/>
            <w:b w:val="false"/>
            <w:bCs w:val="false"/>
            <w:i w:val="false"/>
            <w:iCs w:val="false"/>
            <w:sz w:val="20"/>
            <w:szCs w:val="20"/>
            <w:lang w:val="en-US" w:bidi="en-US"/>
          </w:rPr>
          <w:t>https://nosgestesclimat.fr/en</w:t>
        </w:r>
      </w:hyperlink>
    </w:p>
    <w:p>
      <w:pPr>
        <w:pStyle w:val="Standard"/>
        <w:numPr>
          <w:ilvl w:val="0"/>
          <w:numId w:val="6"/>
        </w:numPr>
        <w:rPr>
          <w:b w:val="false"/>
          <w:bCs w:val="false"/>
          <w:i w:val="false"/>
          <w:szCs w:val="20"/>
          <w:highlight w:val="none"/>
          <w:lang w:val="en-US"/>
          <w14:ligatures w14:val="none"/>
        </w:rPr>
      </w:pPr>
      <w:r>
        <w:rPr>
          <w:b w:val="false"/>
          <w:bCs w:val="false"/>
          <w:i w:val="false"/>
          <w:iCs w:val="false"/>
          <w:sz w:val="20"/>
          <w:szCs w:val="20"/>
          <w:lang w:val="en-US" w:bidi="en-US"/>
        </w:rPr>
        <w:t xml:space="preserve">Your existing local and national initiatives (labour unions, climate initiatives, food coops...) </w:t>
      </w:r>
    </w:p>
    <w:p>
      <w:pPr>
        <w:pStyle w:val="Standard"/>
        <w:numPr>
          <w:ilvl w:val="0"/>
          <w:numId w:val="6"/>
        </w:numPr>
        <w:rPr>
          <w:b w:val="false"/>
          <w:bCs w:val="false"/>
          <w:i w:val="false"/>
          <w:szCs w:val="20"/>
          <w:highlight w:val="none"/>
          <w:lang w:val="en-US"/>
          <w14:ligatures w14:val="none"/>
        </w:rPr>
      </w:pPr>
      <w:r>
        <w:rPr>
          <w:b w:val="false"/>
          <w:bCs w:val="false"/>
          <w:i w:val="false"/>
          <w:iCs w:val="false"/>
          <w:sz w:val="20"/>
          <w:szCs w:val="20"/>
          <w:lang w:val="en-US" w:bidi="en-US"/>
        </w:rPr>
        <w:t xml:space="preserve">10 steps to advocacy tool: </w:t>
      </w:r>
      <w:hyperlink r:id="rId25">
        <w:r>
          <w:rPr>
            <w:rStyle w:val="Hyperlink"/>
            <w:b w:val="false"/>
            <w:bCs w:val="false"/>
            <w:i w:val="false"/>
            <w:iCs w:val="false"/>
            <w:sz w:val="20"/>
            <w:szCs w:val="20"/>
            <w:lang w:val="en-US" w:bidi="en-US"/>
          </w:rPr>
          <w:t>https://www.green-guidance.eu/methodology/10-steps-to-advocacy/</w:t>
        </w:r>
      </w:hyperlink>
    </w:p>
    <w:p>
      <w:pPr>
        <w:pStyle w:val="Standard"/>
        <w:numPr>
          <w:ilvl w:val="0"/>
          <w:numId w:val="6"/>
        </w:numPr>
        <w:rPr>
          <w:b w:val="false"/>
          <w:bCs w:val="false"/>
          <w:i w:val="false"/>
          <w:szCs w:val="20"/>
          <w:highlight w:val="none"/>
          <w:lang w:val="en-US"/>
          <w14:ligatures w14:val="none"/>
        </w:rPr>
      </w:pPr>
      <w:r>
        <w:rPr>
          <w:b w:val="false"/>
          <w:bCs w:val="false"/>
          <w:i w:val="false"/>
          <w:iCs w:val="false"/>
          <w:sz w:val="20"/>
          <w:szCs w:val="20"/>
          <w:lang w:val="en-US" w:bidi="en-US"/>
        </w:rPr>
        <w:t>Chapter 6 of the Green Guidance Handbook: How do I do green guidance? Systemic approaches</w:t>
      </w:r>
    </w:p>
    <w:sectPr>
      <w:headerReference w:type="even" r:id="rId26"/>
      <w:headerReference w:type="default" r:id="rId27"/>
      <w:headerReference w:type="first" r:id="rId28"/>
      <w:type w:val="nextPage"/>
      <w:pgSz w:w="11906" w:h="16838"/>
      <w:pgMar w:left="1134" w:right="1134" w:gutter="0" w:header="1134" w:top="1191"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Times New Roman">
    <w:charset w:val="01" w:characterSet="utf-8"/>
    <w:family w:val="roman"/>
    <w:pitch w:val="variable"/>
  </w:font>
  <w:font w:name="Arial">
    <w:charset w:val="01" w:characterSet="utf-8"/>
    <w:family w:val="swiss"/>
    <w:pitch w:val="variable"/>
  </w:font>
  <w:font w:name="OpenSymbol">
    <w:altName w:val="Arial Unicode MS"/>
    <w:charset w:val="01" w:characterSet="utf-8"/>
    <w:family w:val="roman"/>
    <w:pitch w:val="variable"/>
  </w:font>
  <w:font w:name="Liberation Sans">
    <w:altName w:val="Arial"/>
    <w:charset w:val="01" w:characterSet="utf-8"/>
    <w:family w:val="swiss"/>
    <w:pitch w:val="variable"/>
  </w:font>
  <w:font w:name="Noto Sans Devanagari">
    <w:charset w:val="01" w:characterSet="utf-8"/>
    <w:family w:val="roman"/>
    <w:pitch w:val="variable"/>
  </w:font>
  <w:font w:name="Courier New">
    <w:charset w:val="01"/>
    <w:family w:val="modern"/>
    <w:pitch w:val="fixed"/>
  </w:font>
  <w:font w:name="Wingdings">
    <w:charset w:val="02"/>
    <w:family w:val="auto"/>
    <w:pitch w:val="default"/>
  </w:font>
  <w:font w:name="Symbol">
    <w:charset w:val="02"/>
    <w:family w:val="auto"/>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spacing w:lineRule="atLeast" w:line="276" w:before="274" w:after="0"/>
      <w:ind w:hanging="0" w:start="0" w:end="0"/>
      <w:rPr/>
    </w:pPr>
    <w:r>
      <w:drawing>
        <wp:anchor distT="0" distB="0" distL="0" distR="0" simplePos="0" relativeHeight="5" behindDoc="1" locked="0" layoutInCell="1" allowOverlap="1">
          <wp:simplePos x="0" y="0"/>
          <wp:positionH relativeFrom="column">
            <wp:posOffset>4986655</wp:posOffset>
          </wp:positionH>
          <wp:positionV relativeFrom="paragraph">
            <wp:posOffset>635</wp:posOffset>
          </wp:positionV>
          <wp:extent cx="1009650" cy="428625"/>
          <wp:effectExtent l="0" t="0" r="0" b="0"/>
          <wp:wrapNone/>
          <wp:docPr id="1"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pic:cNvPicPr>
                    <a:picLocks noChangeAspect="1" noChangeArrowheads="1"/>
                  </pic:cNvPicPr>
                </pic:nvPicPr>
                <pic:blipFill>
                  <a:blip r:embed="rId1"/>
                  <a:stretch>
                    <a:fillRect/>
                  </a:stretch>
                </pic:blipFill>
                <pic:spPr bwMode="auto">
                  <a:xfrm>
                    <a:off x="0" y="0"/>
                    <a:ext cx="1009650" cy="428625"/>
                  </a:xfrm>
                  <a:prstGeom prst="rect">
                    <a:avLst/>
                  </a:prstGeom>
                  <a:noFill/>
                </pic:spPr>
              </pic:pic>
            </a:graphicData>
          </a:graphic>
        </wp:anchor>
      </w:drawing>
    </w:r>
    <w:r>
      <w:rPr>
        <w:rFonts w:eastAsia="Liberation Sans" w:cs="Liberation Sans" w:ascii="Liberation Sans" w:hAnsi="Liberation Sans"/>
        <w:color w:val="51DC00"/>
        <w:sz w:val="20"/>
      </w:rPr>
      <w:t>www.green-guidance.eu</w:t>
    </w:r>
  </w:p>
  <w:p>
    <w:pPr>
      <w:pStyle w:val="Header"/>
      <w:rPr/>
    </w:pPr>
    <w:r>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spacing w:lineRule="atLeast" w:line="276" w:before="274" w:after="0"/>
      <w:ind w:hanging="0" w:start="0" w:end="0"/>
      <w:rPr/>
    </w:pPr>
    <w:r>
      <w:drawing>
        <wp:anchor distT="0" distB="0" distL="0" distR="0" simplePos="0" relativeHeight="5" behindDoc="1" locked="0" layoutInCell="1" allowOverlap="1">
          <wp:simplePos x="0" y="0"/>
          <wp:positionH relativeFrom="column">
            <wp:posOffset>4986655</wp:posOffset>
          </wp:positionH>
          <wp:positionV relativeFrom="paragraph">
            <wp:posOffset>635</wp:posOffset>
          </wp:positionV>
          <wp:extent cx="1009650" cy="428625"/>
          <wp:effectExtent l="0" t="0" r="0" b="0"/>
          <wp:wrapNone/>
          <wp:docPr id="2"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
                  <pic:cNvPicPr>
                    <a:picLocks noChangeAspect="1" noChangeArrowheads="1"/>
                  </pic:cNvPicPr>
                </pic:nvPicPr>
                <pic:blipFill>
                  <a:blip r:embed="rId1"/>
                  <a:stretch>
                    <a:fillRect/>
                  </a:stretch>
                </pic:blipFill>
                <pic:spPr bwMode="auto">
                  <a:xfrm>
                    <a:off x="0" y="0"/>
                    <a:ext cx="1009650" cy="428625"/>
                  </a:xfrm>
                  <a:prstGeom prst="rect">
                    <a:avLst/>
                  </a:prstGeom>
                  <a:noFill/>
                </pic:spPr>
              </pic:pic>
            </a:graphicData>
          </a:graphic>
        </wp:anchor>
      </w:drawing>
    </w:r>
    <w:r>
      <w:rPr>
        <w:rFonts w:eastAsia="Liberation Sans" w:cs="Liberation Sans" w:ascii="Liberation Sans" w:hAnsi="Liberation Sans"/>
        <w:color w:val="51DC00"/>
        <w:sz w:val="20"/>
      </w:rPr>
      <w:t>www.green-guidance.eu</w:t>
    </w:r>
  </w:p>
  <w:p>
    <w:pPr>
      <w:pStyle w:val="Header"/>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isLgl/>
      <w:lvlText w:val="–"/>
      <w:lvlJc w:val="start"/>
      <w:pPr>
        <w:tabs>
          <w:tab w:val="num" w:pos="0"/>
        </w:tabs>
        <w:ind w:start="709" w:hanging="360"/>
      </w:pPr>
      <w:rPr>
        <w:rFonts w:ascii="Arial" w:hAnsi="Arial" w:cs="Arial" w:hint="default"/>
      </w:rPr>
    </w:lvl>
    <w:lvl w:ilvl="1">
      <w:start w:val="1"/>
      <w:numFmt w:val="bullet"/>
      <w:isLgl/>
      <w:lvlText w:val="o"/>
      <w:lvlJc w:val="start"/>
      <w:pPr>
        <w:tabs>
          <w:tab w:val="num" w:pos="0"/>
        </w:tabs>
        <w:ind w:start="1429" w:hanging="360"/>
      </w:pPr>
      <w:rPr>
        <w:rFonts w:ascii="Courier New" w:hAnsi="Courier New" w:cs="Courier New" w:hint="default"/>
      </w:rPr>
    </w:lvl>
    <w:lvl w:ilvl="2">
      <w:start w:val="1"/>
      <w:numFmt w:val="bullet"/>
      <w:isLgl/>
      <w:lvlText w:val="§"/>
      <w:lvlJc w:val="start"/>
      <w:pPr>
        <w:tabs>
          <w:tab w:val="num" w:pos="0"/>
        </w:tabs>
        <w:ind w:start="2149" w:hanging="360"/>
      </w:pPr>
      <w:rPr>
        <w:rFonts w:ascii="Wingdings" w:hAnsi="Wingdings" w:cs="Wingdings" w:hint="default"/>
      </w:rPr>
    </w:lvl>
    <w:lvl w:ilvl="3">
      <w:start w:val="1"/>
      <w:numFmt w:val="bullet"/>
      <w:isLgl/>
      <w:lvlText w:val="·"/>
      <w:lvlJc w:val="start"/>
      <w:pPr>
        <w:tabs>
          <w:tab w:val="num" w:pos="0"/>
        </w:tabs>
        <w:ind w:start="2869" w:hanging="360"/>
      </w:pPr>
      <w:rPr>
        <w:rFonts w:ascii="Symbol" w:hAnsi="Symbol" w:cs="Symbol" w:hint="default"/>
      </w:rPr>
    </w:lvl>
    <w:lvl w:ilvl="4">
      <w:start w:val="1"/>
      <w:numFmt w:val="bullet"/>
      <w:isLgl/>
      <w:lvlText w:val="o"/>
      <w:lvlJc w:val="start"/>
      <w:pPr>
        <w:tabs>
          <w:tab w:val="num" w:pos="0"/>
        </w:tabs>
        <w:ind w:start="3589" w:hanging="360"/>
      </w:pPr>
      <w:rPr>
        <w:rFonts w:ascii="Courier New" w:hAnsi="Courier New" w:cs="Courier New" w:hint="default"/>
      </w:rPr>
    </w:lvl>
    <w:lvl w:ilvl="5">
      <w:start w:val="1"/>
      <w:numFmt w:val="bullet"/>
      <w:isLgl/>
      <w:lvlText w:val="§"/>
      <w:lvlJc w:val="start"/>
      <w:pPr>
        <w:tabs>
          <w:tab w:val="num" w:pos="0"/>
        </w:tabs>
        <w:ind w:start="4309" w:hanging="360"/>
      </w:pPr>
      <w:rPr>
        <w:rFonts w:ascii="Wingdings" w:hAnsi="Wingdings" w:cs="Wingdings" w:hint="default"/>
      </w:rPr>
    </w:lvl>
    <w:lvl w:ilvl="6">
      <w:start w:val="1"/>
      <w:numFmt w:val="bullet"/>
      <w:isLgl/>
      <w:lvlText w:val="·"/>
      <w:lvlJc w:val="start"/>
      <w:pPr>
        <w:tabs>
          <w:tab w:val="num" w:pos="0"/>
        </w:tabs>
        <w:ind w:start="5029" w:hanging="360"/>
      </w:pPr>
      <w:rPr>
        <w:rFonts w:ascii="Symbol" w:hAnsi="Symbol" w:cs="Symbol" w:hint="default"/>
      </w:rPr>
    </w:lvl>
    <w:lvl w:ilvl="7">
      <w:start w:val="1"/>
      <w:numFmt w:val="bullet"/>
      <w:isLgl/>
      <w:lvlText w:val="o"/>
      <w:lvlJc w:val="start"/>
      <w:pPr>
        <w:tabs>
          <w:tab w:val="num" w:pos="0"/>
        </w:tabs>
        <w:ind w:start="5749" w:hanging="360"/>
      </w:pPr>
      <w:rPr>
        <w:rFonts w:ascii="Courier New" w:hAnsi="Courier New" w:cs="Courier New" w:hint="default"/>
      </w:rPr>
    </w:lvl>
    <w:lvl w:ilvl="8">
      <w:start w:val="1"/>
      <w:numFmt w:val="bullet"/>
      <w:isLgl/>
      <w:lvlText w:val="§"/>
      <w:lvlJc w:val="start"/>
      <w:pPr>
        <w:tabs>
          <w:tab w:val="num" w:pos="0"/>
        </w:tabs>
        <w:ind w:start="6469" w:hanging="360"/>
      </w:pPr>
      <w:rPr>
        <w:rFonts w:ascii="Wingdings" w:hAnsi="Wingdings" w:cs="Wingdings" w:hint="default"/>
      </w:rPr>
    </w:lvl>
  </w:abstractNum>
  <w:abstractNum w:abstractNumId="2">
    <w:lvl w:ilvl="0">
      <w:start w:val="1"/>
      <w:numFmt w:val="bullet"/>
      <w:isLgl/>
      <w:lvlText w:val="–"/>
      <w:lvlJc w:val="start"/>
      <w:pPr>
        <w:tabs>
          <w:tab w:val="num" w:pos="0"/>
        </w:tabs>
        <w:ind w:start="709" w:hanging="360"/>
      </w:pPr>
      <w:rPr>
        <w:rFonts w:ascii="Arial" w:hAnsi="Arial" w:cs="Arial" w:hint="default"/>
      </w:rPr>
    </w:lvl>
    <w:lvl w:ilvl="1">
      <w:start w:val="1"/>
      <w:numFmt w:val="bullet"/>
      <w:isLgl/>
      <w:lvlText w:val="o"/>
      <w:lvlJc w:val="start"/>
      <w:pPr>
        <w:tabs>
          <w:tab w:val="num" w:pos="0"/>
        </w:tabs>
        <w:ind w:start="1429" w:hanging="360"/>
      </w:pPr>
      <w:rPr>
        <w:rFonts w:ascii="Courier New" w:hAnsi="Courier New" w:cs="Courier New" w:hint="default"/>
      </w:rPr>
    </w:lvl>
    <w:lvl w:ilvl="2">
      <w:start w:val="1"/>
      <w:numFmt w:val="bullet"/>
      <w:isLgl/>
      <w:lvlText w:val="§"/>
      <w:lvlJc w:val="start"/>
      <w:pPr>
        <w:tabs>
          <w:tab w:val="num" w:pos="0"/>
        </w:tabs>
        <w:ind w:start="2149" w:hanging="360"/>
      </w:pPr>
      <w:rPr>
        <w:rFonts w:ascii="Wingdings" w:hAnsi="Wingdings" w:cs="Wingdings" w:hint="default"/>
      </w:rPr>
    </w:lvl>
    <w:lvl w:ilvl="3">
      <w:start w:val="1"/>
      <w:numFmt w:val="bullet"/>
      <w:isLgl/>
      <w:lvlText w:val="·"/>
      <w:lvlJc w:val="start"/>
      <w:pPr>
        <w:tabs>
          <w:tab w:val="num" w:pos="0"/>
        </w:tabs>
        <w:ind w:start="2869" w:hanging="360"/>
      </w:pPr>
      <w:rPr>
        <w:rFonts w:ascii="Symbol" w:hAnsi="Symbol" w:cs="Symbol" w:hint="default"/>
      </w:rPr>
    </w:lvl>
    <w:lvl w:ilvl="4">
      <w:start w:val="1"/>
      <w:numFmt w:val="bullet"/>
      <w:isLgl/>
      <w:lvlText w:val="o"/>
      <w:lvlJc w:val="start"/>
      <w:pPr>
        <w:tabs>
          <w:tab w:val="num" w:pos="0"/>
        </w:tabs>
        <w:ind w:start="3589" w:hanging="360"/>
      </w:pPr>
      <w:rPr>
        <w:rFonts w:ascii="Courier New" w:hAnsi="Courier New" w:cs="Courier New" w:hint="default"/>
      </w:rPr>
    </w:lvl>
    <w:lvl w:ilvl="5">
      <w:start w:val="1"/>
      <w:numFmt w:val="bullet"/>
      <w:isLgl/>
      <w:lvlText w:val="§"/>
      <w:lvlJc w:val="start"/>
      <w:pPr>
        <w:tabs>
          <w:tab w:val="num" w:pos="0"/>
        </w:tabs>
        <w:ind w:start="4309" w:hanging="360"/>
      </w:pPr>
      <w:rPr>
        <w:rFonts w:ascii="Wingdings" w:hAnsi="Wingdings" w:cs="Wingdings" w:hint="default"/>
      </w:rPr>
    </w:lvl>
    <w:lvl w:ilvl="6">
      <w:start w:val="1"/>
      <w:numFmt w:val="bullet"/>
      <w:isLgl/>
      <w:lvlText w:val="·"/>
      <w:lvlJc w:val="start"/>
      <w:pPr>
        <w:tabs>
          <w:tab w:val="num" w:pos="0"/>
        </w:tabs>
        <w:ind w:start="5029" w:hanging="360"/>
      </w:pPr>
      <w:rPr>
        <w:rFonts w:ascii="Symbol" w:hAnsi="Symbol" w:cs="Symbol" w:hint="default"/>
      </w:rPr>
    </w:lvl>
    <w:lvl w:ilvl="7">
      <w:start w:val="1"/>
      <w:numFmt w:val="bullet"/>
      <w:isLgl/>
      <w:lvlText w:val="o"/>
      <w:lvlJc w:val="start"/>
      <w:pPr>
        <w:tabs>
          <w:tab w:val="num" w:pos="0"/>
        </w:tabs>
        <w:ind w:start="5749" w:hanging="360"/>
      </w:pPr>
      <w:rPr>
        <w:rFonts w:ascii="Courier New" w:hAnsi="Courier New" w:cs="Courier New" w:hint="default"/>
      </w:rPr>
    </w:lvl>
    <w:lvl w:ilvl="8">
      <w:start w:val="1"/>
      <w:numFmt w:val="bullet"/>
      <w:isLgl/>
      <w:lvlText w:val="§"/>
      <w:lvlJc w:val="start"/>
      <w:pPr>
        <w:tabs>
          <w:tab w:val="num" w:pos="0"/>
        </w:tabs>
        <w:ind w:start="6469" w:hanging="360"/>
      </w:pPr>
      <w:rPr>
        <w:rFonts w:ascii="Wingdings" w:hAnsi="Wingdings" w:cs="Wingdings" w:hint="default"/>
      </w:rPr>
    </w:lvl>
  </w:abstractNum>
  <w:abstractNum w:abstractNumId="3">
    <w:lvl w:ilvl="0">
      <w:start w:val="1"/>
      <w:numFmt w:val="bullet"/>
      <w:isLgl/>
      <w:lvlText w:val="–"/>
      <w:lvlJc w:val="start"/>
      <w:pPr>
        <w:tabs>
          <w:tab w:val="num" w:pos="0"/>
        </w:tabs>
        <w:ind w:start="709" w:hanging="360"/>
      </w:pPr>
      <w:rPr>
        <w:rFonts w:ascii="Arial" w:hAnsi="Arial" w:cs="Arial" w:hint="default"/>
      </w:rPr>
    </w:lvl>
    <w:lvl w:ilvl="1">
      <w:start w:val="1"/>
      <w:numFmt w:val="bullet"/>
      <w:isLgl/>
      <w:lvlText w:val="o"/>
      <w:lvlJc w:val="start"/>
      <w:pPr>
        <w:tabs>
          <w:tab w:val="num" w:pos="0"/>
        </w:tabs>
        <w:ind w:start="1429" w:hanging="360"/>
      </w:pPr>
      <w:rPr>
        <w:rFonts w:ascii="Courier New" w:hAnsi="Courier New" w:cs="Courier New" w:hint="default"/>
      </w:rPr>
    </w:lvl>
    <w:lvl w:ilvl="2">
      <w:start w:val="1"/>
      <w:numFmt w:val="bullet"/>
      <w:isLgl/>
      <w:lvlText w:val="§"/>
      <w:lvlJc w:val="start"/>
      <w:pPr>
        <w:tabs>
          <w:tab w:val="num" w:pos="0"/>
        </w:tabs>
        <w:ind w:start="2149" w:hanging="360"/>
      </w:pPr>
      <w:rPr>
        <w:rFonts w:ascii="Wingdings" w:hAnsi="Wingdings" w:cs="Wingdings" w:hint="default"/>
      </w:rPr>
    </w:lvl>
    <w:lvl w:ilvl="3">
      <w:start w:val="1"/>
      <w:numFmt w:val="bullet"/>
      <w:isLgl/>
      <w:lvlText w:val="·"/>
      <w:lvlJc w:val="start"/>
      <w:pPr>
        <w:tabs>
          <w:tab w:val="num" w:pos="0"/>
        </w:tabs>
        <w:ind w:start="2869" w:hanging="360"/>
      </w:pPr>
      <w:rPr>
        <w:rFonts w:ascii="Symbol" w:hAnsi="Symbol" w:cs="Symbol" w:hint="default"/>
      </w:rPr>
    </w:lvl>
    <w:lvl w:ilvl="4">
      <w:start w:val="1"/>
      <w:numFmt w:val="bullet"/>
      <w:isLgl/>
      <w:lvlText w:val="o"/>
      <w:lvlJc w:val="start"/>
      <w:pPr>
        <w:tabs>
          <w:tab w:val="num" w:pos="0"/>
        </w:tabs>
        <w:ind w:start="3589" w:hanging="360"/>
      </w:pPr>
      <w:rPr>
        <w:rFonts w:ascii="Courier New" w:hAnsi="Courier New" w:cs="Courier New" w:hint="default"/>
      </w:rPr>
    </w:lvl>
    <w:lvl w:ilvl="5">
      <w:start w:val="1"/>
      <w:numFmt w:val="bullet"/>
      <w:isLgl/>
      <w:lvlText w:val="§"/>
      <w:lvlJc w:val="start"/>
      <w:pPr>
        <w:tabs>
          <w:tab w:val="num" w:pos="0"/>
        </w:tabs>
        <w:ind w:start="4309" w:hanging="360"/>
      </w:pPr>
      <w:rPr>
        <w:rFonts w:ascii="Wingdings" w:hAnsi="Wingdings" w:cs="Wingdings" w:hint="default"/>
      </w:rPr>
    </w:lvl>
    <w:lvl w:ilvl="6">
      <w:start w:val="1"/>
      <w:numFmt w:val="bullet"/>
      <w:isLgl/>
      <w:lvlText w:val="·"/>
      <w:lvlJc w:val="start"/>
      <w:pPr>
        <w:tabs>
          <w:tab w:val="num" w:pos="0"/>
        </w:tabs>
        <w:ind w:start="5029" w:hanging="360"/>
      </w:pPr>
      <w:rPr>
        <w:rFonts w:ascii="Symbol" w:hAnsi="Symbol" w:cs="Symbol" w:hint="default"/>
      </w:rPr>
    </w:lvl>
    <w:lvl w:ilvl="7">
      <w:start w:val="1"/>
      <w:numFmt w:val="bullet"/>
      <w:isLgl/>
      <w:lvlText w:val="o"/>
      <w:lvlJc w:val="start"/>
      <w:pPr>
        <w:tabs>
          <w:tab w:val="num" w:pos="0"/>
        </w:tabs>
        <w:ind w:start="5749" w:hanging="360"/>
      </w:pPr>
      <w:rPr>
        <w:rFonts w:ascii="Courier New" w:hAnsi="Courier New" w:cs="Courier New" w:hint="default"/>
      </w:rPr>
    </w:lvl>
    <w:lvl w:ilvl="8">
      <w:start w:val="1"/>
      <w:numFmt w:val="bullet"/>
      <w:isLgl/>
      <w:lvlText w:val="§"/>
      <w:lvlJc w:val="start"/>
      <w:pPr>
        <w:tabs>
          <w:tab w:val="num" w:pos="0"/>
        </w:tabs>
        <w:ind w:start="6469" w:hanging="360"/>
      </w:pPr>
      <w:rPr>
        <w:rFonts w:ascii="Wingdings" w:hAnsi="Wingdings" w:cs="Wingdings" w:hint="default"/>
      </w:rPr>
    </w:lvl>
  </w:abstractNum>
  <w:abstractNum w:abstractNumId="4">
    <w:lvl w:ilvl="0">
      <w:start w:val="1"/>
      <w:numFmt w:val="bullet"/>
      <w:isLgl/>
      <w:lvlText w:val="–"/>
      <w:lvlJc w:val="start"/>
      <w:pPr>
        <w:tabs>
          <w:tab w:val="num" w:pos="0"/>
        </w:tabs>
        <w:ind w:start="709" w:hanging="360"/>
      </w:pPr>
      <w:rPr>
        <w:rFonts w:ascii="Arial" w:hAnsi="Arial" w:cs="Arial" w:hint="default"/>
      </w:rPr>
    </w:lvl>
    <w:lvl w:ilvl="1">
      <w:start w:val="1"/>
      <w:numFmt w:val="bullet"/>
      <w:isLgl/>
      <w:lvlText w:val="o"/>
      <w:lvlJc w:val="start"/>
      <w:pPr>
        <w:tabs>
          <w:tab w:val="num" w:pos="0"/>
        </w:tabs>
        <w:ind w:start="1429" w:hanging="360"/>
      </w:pPr>
      <w:rPr>
        <w:rFonts w:ascii="Courier New" w:hAnsi="Courier New" w:cs="Courier New" w:hint="default"/>
      </w:rPr>
    </w:lvl>
    <w:lvl w:ilvl="2">
      <w:start w:val="1"/>
      <w:numFmt w:val="bullet"/>
      <w:isLgl/>
      <w:lvlText w:val="§"/>
      <w:lvlJc w:val="start"/>
      <w:pPr>
        <w:tabs>
          <w:tab w:val="num" w:pos="0"/>
        </w:tabs>
        <w:ind w:start="2149" w:hanging="360"/>
      </w:pPr>
      <w:rPr>
        <w:rFonts w:ascii="Wingdings" w:hAnsi="Wingdings" w:cs="Wingdings" w:hint="default"/>
      </w:rPr>
    </w:lvl>
    <w:lvl w:ilvl="3">
      <w:start w:val="1"/>
      <w:numFmt w:val="bullet"/>
      <w:isLgl/>
      <w:lvlText w:val="·"/>
      <w:lvlJc w:val="start"/>
      <w:pPr>
        <w:tabs>
          <w:tab w:val="num" w:pos="0"/>
        </w:tabs>
        <w:ind w:start="2869" w:hanging="360"/>
      </w:pPr>
      <w:rPr>
        <w:rFonts w:ascii="Symbol" w:hAnsi="Symbol" w:cs="Symbol" w:hint="default"/>
      </w:rPr>
    </w:lvl>
    <w:lvl w:ilvl="4">
      <w:start w:val="1"/>
      <w:numFmt w:val="bullet"/>
      <w:isLgl/>
      <w:lvlText w:val="o"/>
      <w:lvlJc w:val="start"/>
      <w:pPr>
        <w:tabs>
          <w:tab w:val="num" w:pos="0"/>
        </w:tabs>
        <w:ind w:start="3589" w:hanging="360"/>
      </w:pPr>
      <w:rPr>
        <w:rFonts w:ascii="Courier New" w:hAnsi="Courier New" w:cs="Courier New" w:hint="default"/>
      </w:rPr>
    </w:lvl>
    <w:lvl w:ilvl="5">
      <w:start w:val="1"/>
      <w:numFmt w:val="bullet"/>
      <w:isLgl/>
      <w:lvlText w:val="§"/>
      <w:lvlJc w:val="start"/>
      <w:pPr>
        <w:tabs>
          <w:tab w:val="num" w:pos="0"/>
        </w:tabs>
        <w:ind w:start="4309" w:hanging="360"/>
      </w:pPr>
      <w:rPr>
        <w:rFonts w:ascii="Wingdings" w:hAnsi="Wingdings" w:cs="Wingdings" w:hint="default"/>
      </w:rPr>
    </w:lvl>
    <w:lvl w:ilvl="6">
      <w:start w:val="1"/>
      <w:numFmt w:val="bullet"/>
      <w:isLgl/>
      <w:lvlText w:val="·"/>
      <w:lvlJc w:val="start"/>
      <w:pPr>
        <w:tabs>
          <w:tab w:val="num" w:pos="0"/>
        </w:tabs>
        <w:ind w:start="5029" w:hanging="360"/>
      </w:pPr>
      <w:rPr>
        <w:rFonts w:ascii="Symbol" w:hAnsi="Symbol" w:cs="Symbol" w:hint="default"/>
      </w:rPr>
    </w:lvl>
    <w:lvl w:ilvl="7">
      <w:start w:val="1"/>
      <w:numFmt w:val="bullet"/>
      <w:isLgl/>
      <w:lvlText w:val="o"/>
      <w:lvlJc w:val="start"/>
      <w:pPr>
        <w:tabs>
          <w:tab w:val="num" w:pos="0"/>
        </w:tabs>
        <w:ind w:start="5749" w:hanging="360"/>
      </w:pPr>
      <w:rPr>
        <w:rFonts w:ascii="Courier New" w:hAnsi="Courier New" w:cs="Courier New" w:hint="default"/>
      </w:rPr>
    </w:lvl>
    <w:lvl w:ilvl="8">
      <w:start w:val="1"/>
      <w:numFmt w:val="bullet"/>
      <w:isLgl/>
      <w:lvlText w:val="§"/>
      <w:lvlJc w:val="start"/>
      <w:pPr>
        <w:tabs>
          <w:tab w:val="num" w:pos="0"/>
        </w:tabs>
        <w:ind w:start="6469" w:hanging="360"/>
      </w:pPr>
      <w:rPr>
        <w:rFonts w:ascii="Wingdings" w:hAnsi="Wingdings" w:cs="Wingdings" w:hint="default"/>
      </w:rPr>
    </w:lvl>
  </w:abstractNum>
  <w:abstractNum w:abstractNumId="5">
    <w:lvl w:ilvl="0">
      <w:start w:val="1"/>
      <w:numFmt w:val="bullet"/>
      <w:isLgl/>
      <w:lvlText w:val="–"/>
      <w:lvlJc w:val="start"/>
      <w:pPr>
        <w:tabs>
          <w:tab w:val="num" w:pos="0"/>
        </w:tabs>
        <w:ind w:start="709" w:hanging="360"/>
      </w:pPr>
      <w:rPr>
        <w:rFonts w:ascii="Arial" w:hAnsi="Arial" w:cs="Arial" w:hint="default"/>
      </w:rPr>
    </w:lvl>
    <w:lvl w:ilvl="1">
      <w:start w:val="1"/>
      <w:numFmt w:val="bullet"/>
      <w:isLgl/>
      <w:lvlText w:val="o"/>
      <w:lvlJc w:val="start"/>
      <w:pPr>
        <w:tabs>
          <w:tab w:val="num" w:pos="0"/>
        </w:tabs>
        <w:ind w:start="1429" w:hanging="360"/>
      </w:pPr>
      <w:rPr>
        <w:rFonts w:ascii="Courier New" w:hAnsi="Courier New" w:cs="Courier New" w:hint="default"/>
      </w:rPr>
    </w:lvl>
    <w:lvl w:ilvl="2">
      <w:start w:val="1"/>
      <w:numFmt w:val="bullet"/>
      <w:isLgl/>
      <w:lvlText w:val="§"/>
      <w:lvlJc w:val="start"/>
      <w:pPr>
        <w:tabs>
          <w:tab w:val="num" w:pos="0"/>
        </w:tabs>
        <w:ind w:start="2149" w:hanging="360"/>
      </w:pPr>
      <w:rPr>
        <w:rFonts w:ascii="Wingdings" w:hAnsi="Wingdings" w:cs="Wingdings" w:hint="default"/>
      </w:rPr>
    </w:lvl>
    <w:lvl w:ilvl="3">
      <w:start w:val="1"/>
      <w:numFmt w:val="bullet"/>
      <w:isLgl/>
      <w:lvlText w:val="·"/>
      <w:lvlJc w:val="start"/>
      <w:pPr>
        <w:tabs>
          <w:tab w:val="num" w:pos="0"/>
        </w:tabs>
        <w:ind w:start="2869" w:hanging="360"/>
      </w:pPr>
      <w:rPr>
        <w:rFonts w:ascii="Symbol" w:hAnsi="Symbol" w:cs="Symbol" w:hint="default"/>
      </w:rPr>
    </w:lvl>
    <w:lvl w:ilvl="4">
      <w:start w:val="1"/>
      <w:numFmt w:val="bullet"/>
      <w:isLgl/>
      <w:lvlText w:val="o"/>
      <w:lvlJc w:val="start"/>
      <w:pPr>
        <w:tabs>
          <w:tab w:val="num" w:pos="0"/>
        </w:tabs>
        <w:ind w:start="3589" w:hanging="360"/>
      </w:pPr>
      <w:rPr>
        <w:rFonts w:ascii="Courier New" w:hAnsi="Courier New" w:cs="Courier New" w:hint="default"/>
      </w:rPr>
    </w:lvl>
    <w:lvl w:ilvl="5">
      <w:start w:val="1"/>
      <w:numFmt w:val="bullet"/>
      <w:isLgl/>
      <w:lvlText w:val="§"/>
      <w:lvlJc w:val="start"/>
      <w:pPr>
        <w:tabs>
          <w:tab w:val="num" w:pos="0"/>
        </w:tabs>
        <w:ind w:start="4309" w:hanging="360"/>
      </w:pPr>
      <w:rPr>
        <w:rFonts w:ascii="Wingdings" w:hAnsi="Wingdings" w:cs="Wingdings" w:hint="default"/>
      </w:rPr>
    </w:lvl>
    <w:lvl w:ilvl="6">
      <w:start w:val="1"/>
      <w:numFmt w:val="bullet"/>
      <w:isLgl/>
      <w:lvlText w:val="·"/>
      <w:lvlJc w:val="start"/>
      <w:pPr>
        <w:tabs>
          <w:tab w:val="num" w:pos="0"/>
        </w:tabs>
        <w:ind w:start="5029" w:hanging="360"/>
      </w:pPr>
      <w:rPr>
        <w:rFonts w:ascii="Symbol" w:hAnsi="Symbol" w:cs="Symbol" w:hint="default"/>
      </w:rPr>
    </w:lvl>
    <w:lvl w:ilvl="7">
      <w:start w:val="1"/>
      <w:numFmt w:val="bullet"/>
      <w:isLgl/>
      <w:lvlText w:val="o"/>
      <w:lvlJc w:val="start"/>
      <w:pPr>
        <w:tabs>
          <w:tab w:val="num" w:pos="0"/>
        </w:tabs>
        <w:ind w:start="5749" w:hanging="360"/>
      </w:pPr>
      <w:rPr>
        <w:rFonts w:ascii="Courier New" w:hAnsi="Courier New" w:cs="Courier New" w:hint="default"/>
      </w:rPr>
    </w:lvl>
    <w:lvl w:ilvl="8">
      <w:start w:val="1"/>
      <w:numFmt w:val="bullet"/>
      <w:isLgl/>
      <w:lvlText w:val="§"/>
      <w:lvlJc w:val="start"/>
      <w:pPr>
        <w:tabs>
          <w:tab w:val="num" w:pos="0"/>
        </w:tabs>
        <w:ind w:start="6469" w:hanging="360"/>
      </w:pPr>
      <w:rPr>
        <w:rFonts w:ascii="Wingdings" w:hAnsi="Wingdings" w:cs="Wingdings" w:hint="default"/>
      </w:rPr>
    </w:lvl>
  </w:abstractNum>
  <w:abstractNum w:abstractNumId="6">
    <w:lvl w:ilvl="0">
      <w:start w:val="1"/>
      <w:numFmt w:val="bullet"/>
      <w:isLgl/>
      <w:lvlText w:val="–"/>
      <w:lvlJc w:val="start"/>
      <w:pPr>
        <w:tabs>
          <w:tab w:val="num" w:pos="0"/>
        </w:tabs>
        <w:ind w:start="709" w:hanging="360"/>
      </w:pPr>
      <w:rPr>
        <w:rFonts w:ascii="Arial" w:hAnsi="Arial" w:cs="Arial" w:hint="default"/>
      </w:rPr>
    </w:lvl>
    <w:lvl w:ilvl="1">
      <w:start w:val="1"/>
      <w:numFmt w:val="bullet"/>
      <w:isLgl/>
      <w:lvlText w:val="o"/>
      <w:lvlJc w:val="start"/>
      <w:pPr>
        <w:tabs>
          <w:tab w:val="num" w:pos="0"/>
        </w:tabs>
        <w:ind w:start="1429" w:hanging="360"/>
      </w:pPr>
      <w:rPr>
        <w:rFonts w:ascii="Courier New" w:hAnsi="Courier New" w:cs="Courier New" w:hint="default"/>
      </w:rPr>
    </w:lvl>
    <w:lvl w:ilvl="2">
      <w:start w:val="1"/>
      <w:numFmt w:val="bullet"/>
      <w:isLgl/>
      <w:lvlText w:val="§"/>
      <w:lvlJc w:val="start"/>
      <w:pPr>
        <w:tabs>
          <w:tab w:val="num" w:pos="0"/>
        </w:tabs>
        <w:ind w:start="2149" w:hanging="360"/>
      </w:pPr>
      <w:rPr>
        <w:rFonts w:ascii="Wingdings" w:hAnsi="Wingdings" w:cs="Wingdings" w:hint="default"/>
      </w:rPr>
    </w:lvl>
    <w:lvl w:ilvl="3">
      <w:start w:val="1"/>
      <w:numFmt w:val="bullet"/>
      <w:isLgl/>
      <w:lvlText w:val="·"/>
      <w:lvlJc w:val="start"/>
      <w:pPr>
        <w:tabs>
          <w:tab w:val="num" w:pos="0"/>
        </w:tabs>
        <w:ind w:start="2869" w:hanging="360"/>
      </w:pPr>
      <w:rPr>
        <w:rFonts w:ascii="Symbol" w:hAnsi="Symbol" w:cs="Symbol" w:hint="default"/>
      </w:rPr>
    </w:lvl>
    <w:lvl w:ilvl="4">
      <w:start w:val="1"/>
      <w:numFmt w:val="bullet"/>
      <w:isLgl/>
      <w:lvlText w:val="o"/>
      <w:lvlJc w:val="start"/>
      <w:pPr>
        <w:tabs>
          <w:tab w:val="num" w:pos="0"/>
        </w:tabs>
        <w:ind w:start="3589" w:hanging="360"/>
      </w:pPr>
      <w:rPr>
        <w:rFonts w:ascii="Courier New" w:hAnsi="Courier New" w:cs="Courier New" w:hint="default"/>
      </w:rPr>
    </w:lvl>
    <w:lvl w:ilvl="5">
      <w:start w:val="1"/>
      <w:numFmt w:val="bullet"/>
      <w:isLgl/>
      <w:lvlText w:val="§"/>
      <w:lvlJc w:val="start"/>
      <w:pPr>
        <w:tabs>
          <w:tab w:val="num" w:pos="0"/>
        </w:tabs>
        <w:ind w:start="4309" w:hanging="360"/>
      </w:pPr>
      <w:rPr>
        <w:rFonts w:ascii="Wingdings" w:hAnsi="Wingdings" w:cs="Wingdings" w:hint="default"/>
      </w:rPr>
    </w:lvl>
    <w:lvl w:ilvl="6">
      <w:start w:val="1"/>
      <w:numFmt w:val="bullet"/>
      <w:isLgl/>
      <w:lvlText w:val="·"/>
      <w:lvlJc w:val="start"/>
      <w:pPr>
        <w:tabs>
          <w:tab w:val="num" w:pos="0"/>
        </w:tabs>
        <w:ind w:start="5029" w:hanging="360"/>
      </w:pPr>
      <w:rPr>
        <w:rFonts w:ascii="Symbol" w:hAnsi="Symbol" w:cs="Symbol" w:hint="default"/>
      </w:rPr>
    </w:lvl>
    <w:lvl w:ilvl="7">
      <w:start w:val="1"/>
      <w:numFmt w:val="bullet"/>
      <w:isLgl/>
      <w:lvlText w:val="o"/>
      <w:lvlJc w:val="start"/>
      <w:pPr>
        <w:tabs>
          <w:tab w:val="num" w:pos="0"/>
        </w:tabs>
        <w:ind w:start="5749" w:hanging="360"/>
      </w:pPr>
      <w:rPr>
        <w:rFonts w:ascii="Courier New" w:hAnsi="Courier New" w:cs="Courier New" w:hint="default"/>
      </w:rPr>
    </w:lvl>
    <w:lvl w:ilvl="8">
      <w:start w:val="1"/>
      <w:numFmt w:val="bullet"/>
      <w:isLgl/>
      <w:lvlText w:val="§"/>
      <w:lvlJc w:val="start"/>
      <w:pPr>
        <w:tabs>
          <w:tab w:val="num" w:pos="0"/>
        </w:tabs>
        <w:ind w:start="6469" w:hanging="360"/>
      </w:pPr>
      <w:rPr>
        <w:rFonts w:ascii="Wingdings" w:hAnsi="Wingdings" w:cs="Wingdings" w:hint="default"/>
      </w:rPr>
    </w:lvl>
  </w:abstractNum>
  <w:abstractNum w:abstractNumId="7">
    <w:lvl w:ilvl="0">
      <w:start w:val="1"/>
      <w:numFmt w:val="bullet"/>
      <w:isLgl/>
      <w:lvlText w:val="–"/>
      <w:lvlJc w:val="start"/>
      <w:pPr>
        <w:tabs>
          <w:tab w:val="num" w:pos="0"/>
        </w:tabs>
        <w:ind w:start="709" w:hanging="360"/>
      </w:pPr>
      <w:rPr>
        <w:rFonts w:ascii="Arial" w:hAnsi="Arial" w:cs="Arial" w:hint="default"/>
      </w:rPr>
    </w:lvl>
    <w:lvl w:ilvl="1">
      <w:start w:val="1"/>
      <w:numFmt w:val="bullet"/>
      <w:isLgl/>
      <w:lvlText w:val="o"/>
      <w:lvlJc w:val="start"/>
      <w:pPr>
        <w:tabs>
          <w:tab w:val="num" w:pos="0"/>
        </w:tabs>
        <w:ind w:start="1429" w:hanging="360"/>
      </w:pPr>
      <w:rPr>
        <w:rFonts w:ascii="Courier New" w:hAnsi="Courier New" w:cs="Courier New" w:hint="default"/>
      </w:rPr>
    </w:lvl>
    <w:lvl w:ilvl="2">
      <w:start w:val="1"/>
      <w:numFmt w:val="bullet"/>
      <w:isLgl/>
      <w:lvlText w:val="§"/>
      <w:lvlJc w:val="start"/>
      <w:pPr>
        <w:tabs>
          <w:tab w:val="num" w:pos="0"/>
        </w:tabs>
        <w:ind w:start="2149" w:hanging="360"/>
      </w:pPr>
      <w:rPr>
        <w:rFonts w:ascii="Wingdings" w:hAnsi="Wingdings" w:cs="Wingdings" w:hint="default"/>
      </w:rPr>
    </w:lvl>
    <w:lvl w:ilvl="3">
      <w:start w:val="1"/>
      <w:numFmt w:val="bullet"/>
      <w:isLgl/>
      <w:lvlText w:val="·"/>
      <w:lvlJc w:val="start"/>
      <w:pPr>
        <w:tabs>
          <w:tab w:val="num" w:pos="0"/>
        </w:tabs>
        <w:ind w:start="2869" w:hanging="360"/>
      </w:pPr>
      <w:rPr>
        <w:rFonts w:ascii="Symbol" w:hAnsi="Symbol" w:cs="Symbol" w:hint="default"/>
      </w:rPr>
    </w:lvl>
    <w:lvl w:ilvl="4">
      <w:start w:val="1"/>
      <w:numFmt w:val="bullet"/>
      <w:isLgl/>
      <w:lvlText w:val="o"/>
      <w:lvlJc w:val="start"/>
      <w:pPr>
        <w:tabs>
          <w:tab w:val="num" w:pos="0"/>
        </w:tabs>
        <w:ind w:start="3589" w:hanging="360"/>
      </w:pPr>
      <w:rPr>
        <w:rFonts w:ascii="Courier New" w:hAnsi="Courier New" w:cs="Courier New" w:hint="default"/>
      </w:rPr>
    </w:lvl>
    <w:lvl w:ilvl="5">
      <w:start w:val="1"/>
      <w:numFmt w:val="bullet"/>
      <w:isLgl/>
      <w:lvlText w:val="§"/>
      <w:lvlJc w:val="start"/>
      <w:pPr>
        <w:tabs>
          <w:tab w:val="num" w:pos="0"/>
        </w:tabs>
        <w:ind w:start="4309" w:hanging="360"/>
      </w:pPr>
      <w:rPr>
        <w:rFonts w:ascii="Wingdings" w:hAnsi="Wingdings" w:cs="Wingdings" w:hint="default"/>
      </w:rPr>
    </w:lvl>
    <w:lvl w:ilvl="6">
      <w:start w:val="1"/>
      <w:numFmt w:val="bullet"/>
      <w:isLgl/>
      <w:lvlText w:val="·"/>
      <w:lvlJc w:val="start"/>
      <w:pPr>
        <w:tabs>
          <w:tab w:val="num" w:pos="0"/>
        </w:tabs>
        <w:ind w:start="5029" w:hanging="360"/>
      </w:pPr>
      <w:rPr>
        <w:rFonts w:ascii="Symbol" w:hAnsi="Symbol" w:cs="Symbol" w:hint="default"/>
      </w:rPr>
    </w:lvl>
    <w:lvl w:ilvl="7">
      <w:start w:val="1"/>
      <w:numFmt w:val="bullet"/>
      <w:isLgl/>
      <w:lvlText w:val="o"/>
      <w:lvlJc w:val="start"/>
      <w:pPr>
        <w:tabs>
          <w:tab w:val="num" w:pos="0"/>
        </w:tabs>
        <w:ind w:start="5749" w:hanging="360"/>
      </w:pPr>
      <w:rPr>
        <w:rFonts w:ascii="Courier New" w:hAnsi="Courier New" w:cs="Courier New" w:hint="default"/>
      </w:rPr>
    </w:lvl>
    <w:lvl w:ilvl="8">
      <w:start w:val="1"/>
      <w:numFmt w:val="bullet"/>
      <w:isLgl/>
      <w:lvlText w:val="§"/>
      <w:lvlJc w:val="start"/>
      <w:pPr>
        <w:tabs>
          <w:tab w:val="num" w:pos="0"/>
        </w:tabs>
        <w:ind w:start="6469" w:hanging="360"/>
      </w:pPr>
      <w:rPr>
        <w:rFonts w:ascii="Wingdings" w:hAnsi="Wingdings" w:cs="Wingdings" w:hint="default"/>
      </w:rPr>
    </w:lvl>
  </w:abstractNum>
  <w:abstractNum w:abstractNumId="8">
    <w:lvl w:ilvl="0">
      <w:start w:val="1"/>
      <w:numFmt w:val="decimal"/>
      <w:isLgl/>
      <w:lvlText w:val="%1."/>
      <w:lvlJc w:val="end"/>
      <w:pPr>
        <w:tabs>
          <w:tab w:val="num" w:pos="0"/>
        </w:tabs>
        <w:ind w:start="709" w:hanging="360"/>
      </w:pPr>
      <w:rPr/>
    </w:lvl>
    <w:lvl w:ilvl="1">
      <w:start w:val="1"/>
      <w:numFmt w:val="decimal"/>
      <w:isLgl/>
      <w:lvlText w:val="%2."/>
      <w:lvlJc w:val="end"/>
      <w:pPr>
        <w:tabs>
          <w:tab w:val="num" w:pos="0"/>
        </w:tabs>
        <w:ind w:start="1429" w:hanging="360"/>
      </w:pPr>
      <w:rPr/>
    </w:lvl>
    <w:lvl w:ilvl="2">
      <w:start w:val="1"/>
      <w:numFmt w:val="decimal"/>
      <w:isLgl/>
      <w:lvlText w:val="%3."/>
      <w:lvlJc w:val="end"/>
      <w:pPr>
        <w:tabs>
          <w:tab w:val="num" w:pos="0"/>
        </w:tabs>
        <w:ind w:start="2149" w:hanging="360"/>
      </w:pPr>
      <w:rPr/>
    </w:lvl>
    <w:lvl w:ilvl="3">
      <w:start w:val="1"/>
      <w:numFmt w:val="decimal"/>
      <w:isLgl/>
      <w:lvlText w:val="%4."/>
      <w:lvlJc w:val="end"/>
      <w:pPr>
        <w:tabs>
          <w:tab w:val="num" w:pos="0"/>
        </w:tabs>
        <w:ind w:start="2869" w:hanging="360"/>
      </w:pPr>
      <w:rPr/>
    </w:lvl>
    <w:lvl w:ilvl="4">
      <w:start w:val="1"/>
      <w:numFmt w:val="decimal"/>
      <w:isLgl/>
      <w:lvlText w:val="%5."/>
      <w:lvlJc w:val="end"/>
      <w:pPr>
        <w:tabs>
          <w:tab w:val="num" w:pos="0"/>
        </w:tabs>
        <w:ind w:start="3589" w:hanging="360"/>
      </w:pPr>
      <w:rPr/>
    </w:lvl>
    <w:lvl w:ilvl="5">
      <w:start w:val="1"/>
      <w:numFmt w:val="decimal"/>
      <w:isLgl/>
      <w:lvlText w:val="%6."/>
      <w:lvlJc w:val="end"/>
      <w:pPr>
        <w:tabs>
          <w:tab w:val="num" w:pos="0"/>
        </w:tabs>
        <w:ind w:start="4309" w:hanging="360"/>
      </w:pPr>
      <w:rPr/>
    </w:lvl>
    <w:lvl w:ilvl="6">
      <w:start w:val="1"/>
      <w:numFmt w:val="decimal"/>
      <w:isLgl/>
      <w:lvlText w:val="%7."/>
      <w:lvlJc w:val="end"/>
      <w:pPr>
        <w:tabs>
          <w:tab w:val="num" w:pos="0"/>
        </w:tabs>
        <w:ind w:start="5029" w:hanging="360"/>
      </w:pPr>
      <w:rPr/>
    </w:lvl>
    <w:lvl w:ilvl="7">
      <w:start w:val="1"/>
      <w:numFmt w:val="decimal"/>
      <w:isLgl/>
      <w:lvlText w:val="%8."/>
      <w:lvlJc w:val="end"/>
      <w:pPr>
        <w:tabs>
          <w:tab w:val="num" w:pos="0"/>
        </w:tabs>
        <w:ind w:start="5749" w:hanging="360"/>
      </w:pPr>
      <w:rPr/>
    </w:lvl>
    <w:lvl w:ilvl="8">
      <w:start w:val="1"/>
      <w:numFmt w:val="decimal"/>
      <w:isLgl/>
      <w:lvlText w:val="%9."/>
      <w:lvlJc w:val="end"/>
      <w:pPr>
        <w:tabs>
          <w:tab w:val="num" w:pos="0"/>
        </w:tabs>
        <w:ind w:start="6469" w:hanging="360"/>
      </w:pPr>
      <w:rPr/>
    </w:lvl>
  </w:abstractNum>
  <w:abstractNum w:abstractNumId="9">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w="http://schemas.openxmlformats.org/wordprocessingml/2006/main">
  <w:zoom w:percent="134"/>
  <w:defaultTabStop w:val="709"/>
  <w:autoHyphenation w:val="true"/>
  <w:hyphenationZone w:val="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oto Serif SC" w:cs="Noto Sans"/>
        <w:lang w:val="en-GB" w:eastAsia="zh-CN" w:bidi="hi-IN"/>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suppressAutoHyphens w:val="true"/>
      <w:bidi w:val="0"/>
      <w:spacing w:before="0" w:after="0"/>
      <w:jc w:val="start"/>
    </w:pPr>
    <w:rPr>
      <w:rFonts w:ascii="Times New Roman" w:hAnsi="Times New Roman" w:eastAsia="Noto Serif SC" w:cs="Noto Sans"/>
      <w:color w:val="auto"/>
      <w:kern w:val="0"/>
      <w:sz w:val="20"/>
      <w:szCs w:val="20"/>
      <w:lang w:val="en-GB" w:eastAsia="zh-CN" w:bidi="hi-IN"/>
    </w:rPr>
  </w:style>
  <w:style w:type="paragraph" w:styleId="Heading1" w:customStyle="1">
    <w:name w:val="heading 1"/>
    <w:basedOn w:val="Ttulo"/>
    <w:qFormat/>
    <w:pPr>
      <w:numPr>
        <w:ilvl w:val="0"/>
        <w:numId w:val="0"/>
      </w:numPr>
      <w:spacing w:before="240" w:after="120"/>
      <w:outlineLvl w:val="1"/>
    </w:pPr>
    <w:rPr>
      <w:b/>
      <w:bCs/>
      <w:sz w:val="36"/>
      <w:szCs w:val="36"/>
    </w:rPr>
  </w:style>
  <w:style w:type="paragraph" w:styleId="Heading2" w:customStyle="1">
    <w:name w:val="heading 2"/>
    <w:basedOn w:val="Ttulo"/>
    <w:qFormat/>
    <w:pPr>
      <w:numPr>
        <w:ilvl w:val="0"/>
        <w:numId w:val="0"/>
      </w:numPr>
      <w:spacing w:before="200" w:after="120"/>
      <w:outlineLvl w:val="2"/>
    </w:pPr>
    <w:rPr>
      <w:b/>
      <w:bCs/>
      <w:sz w:val="32"/>
      <w:szCs w:val="32"/>
    </w:rPr>
  </w:style>
  <w:style w:type="paragraph" w:styleId="Heading3">
    <w:name w:val="heading 3"/>
    <w:basedOn w:val="Normal"/>
    <w:uiPriority w:val="9"/>
    <w:unhideWhenUsed/>
    <w:qFormat/>
    <w:pPr>
      <w:keepNext w:val="true"/>
      <w:keepLines/>
      <w:spacing w:before="160" w:after="80"/>
      <w:outlineLvl w:val="2"/>
    </w:pPr>
    <w:rPr>
      <w:rFonts w:ascii="Arial" w:hAnsi="Arial" w:eastAsia="Arial" w:cs="Arial"/>
      <w:color w:themeColor="accent1" w:themeShade="bf" w:val="0F4761"/>
      <w:sz w:val="28"/>
      <w:szCs w:val="28"/>
    </w:rPr>
  </w:style>
  <w:style w:type="paragraph" w:styleId="Heading4">
    <w:name w:val="heading 4"/>
    <w:basedOn w:val="Normal"/>
    <w:uiPriority w:val="9"/>
    <w:unhideWhenUsed/>
    <w:qFormat/>
    <w:pPr>
      <w:keepNext w:val="true"/>
      <w:keepLines/>
      <w:spacing w:before="80" w:after="40"/>
      <w:outlineLvl w:val="3"/>
    </w:pPr>
    <w:rPr>
      <w:rFonts w:ascii="Arial" w:hAnsi="Arial" w:eastAsia="Arial" w:cs="Arial"/>
      <w:i/>
      <w:iCs/>
      <w:color w:themeColor="accent1" w:themeShade="bf" w:val="0F4761"/>
    </w:rPr>
  </w:style>
  <w:style w:type="paragraph" w:styleId="Heading5">
    <w:name w:val="heading 5"/>
    <w:basedOn w:val="Normal"/>
    <w:uiPriority w:val="9"/>
    <w:unhideWhenUsed/>
    <w:qFormat/>
    <w:pPr>
      <w:keepNext w:val="true"/>
      <w:keepLines/>
      <w:spacing w:before="80" w:after="40"/>
      <w:outlineLvl w:val="4"/>
    </w:pPr>
    <w:rPr>
      <w:rFonts w:ascii="Arial" w:hAnsi="Arial" w:eastAsia="Arial" w:cs="Arial"/>
      <w:color w:themeColor="accent1" w:themeShade="bf" w:val="0F4761"/>
    </w:rPr>
  </w:style>
  <w:style w:type="paragraph" w:styleId="Heading6">
    <w:name w:val="heading 6"/>
    <w:basedOn w:val="Normal"/>
    <w:uiPriority w:val="9"/>
    <w:unhideWhenUsed/>
    <w:qFormat/>
    <w:pPr>
      <w:keepNext w:val="true"/>
      <w:keepLines/>
      <w:spacing w:before="40" w:after="0"/>
      <w:outlineLvl w:val="5"/>
    </w:pPr>
    <w:rPr>
      <w:rFonts w:ascii="Arial" w:hAnsi="Arial" w:eastAsia="Arial" w:cs="Arial"/>
      <w:i/>
      <w:iCs/>
      <w:color w:themeColor="text1" w:themeTint="a6" w:val="595959"/>
    </w:rPr>
  </w:style>
  <w:style w:type="paragraph" w:styleId="Heading7">
    <w:name w:val="heading 7"/>
    <w:basedOn w:val="Normal"/>
    <w:uiPriority w:val="9"/>
    <w:unhideWhenUsed/>
    <w:qFormat/>
    <w:pPr>
      <w:keepNext w:val="true"/>
      <w:keepLines/>
      <w:spacing w:before="40" w:after="0"/>
      <w:outlineLvl w:val="6"/>
    </w:pPr>
    <w:rPr>
      <w:rFonts w:ascii="Arial" w:hAnsi="Arial" w:eastAsia="Arial" w:cs="Arial"/>
      <w:color w:themeColor="text1" w:themeTint="a6" w:val="595959"/>
    </w:rPr>
  </w:style>
  <w:style w:type="paragraph" w:styleId="Heading8">
    <w:name w:val="heading 8"/>
    <w:basedOn w:val="Normal"/>
    <w:uiPriority w:val="9"/>
    <w:unhideWhenUsed/>
    <w:qFormat/>
    <w:pPr>
      <w:keepNext w:val="true"/>
      <w:keepLines/>
      <w:spacing w:before="0" w:after="0"/>
      <w:outlineLvl w:val="7"/>
    </w:pPr>
    <w:rPr>
      <w:rFonts w:ascii="Arial" w:hAnsi="Arial" w:eastAsia="Arial" w:cs="Arial"/>
      <w:i/>
      <w:iCs/>
      <w:color w:themeColor="text1" w:themeTint="d8" w:val="272727"/>
    </w:rPr>
  </w:style>
  <w:style w:type="paragraph" w:styleId="Heading9">
    <w:name w:val="heading 9"/>
    <w:basedOn w:val="Normal"/>
    <w:uiPriority w:val="9"/>
    <w:unhideWhenUsed/>
    <w:qFormat/>
    <w:pPr>
      <w:keepNext w:val="true"/>
      <w:keepLines/>
      <w:spacing w:before="0" w:after="0"/>
      <w:outlineLvl w:val="8"/>
    </w:pPr>
    <w:rPr>
      <w:rFonts w:ascii="Arial" w:hAnsi="Arial" w:eastAsia="Arial" w:cs="Arial"/>
      <w:i/>
      <w:iCs/>
      <w:color w:themeColor="text1" w:themeTint="d8" w:val="272727"/>
    </w:rPr>
  </w:style>
  <w:style w:type="character" w:styleId="DefaultParagraphFont" w:default="1">
    <w:name w:val="Default Paragraph Font"/>
    <w:uiPriority w:val="1"/>
    <w:semiHidden/>
    <w:unhideWhenUsed/>
    <w:qFormat/>
    <w:rPr/>
  </w:style>
  <w:style w:type="character" w:styleId="Heading1Char">
    <w:name w:val="Heading 1 Char"/>
    <w:basedOn w:val="DefaultParagraphFont"/>
    <w:uiPriority w:val="9"/>
    <w:qFormat/>
    <w:rPr>
      <w:rFonts w:ascii="Arial" w:hAnsi="Arial" w:eastAsia="Arial" w:cs="Arial"/>
      <w:color w:themeColor="accent1" w:themeShade="bf" w:val="0F4761"/>
      <w:sz w:val="40"/>
      <w:szCs w:val="40"/>
    </w:rPr>
  </w:style>
  <w:style w:type="character" w:styleId="Heading2Char">
    <w:name w:val="Heading 2 Char"/>
    <w:basedOn w:val="DefaultParagraphFont"/>
    <w:uiPriority w:val="9"/>
    <w:qFormat/>
    <w:rPr>
      <w:rFonts w:ascii="Arial" w:hAnsi="Arial" w:eastAsia="Arial" w:cs="Arial"/>
      <w:color w:themeColor="accent1" w:themeShade="bf" w:val="0F4761"/>
      <w:sz w:val="32"/>
      <w:szCs w:val="32"/>
    </w:rPr>
  </w:style>
  <w:style w:type="character" w:styleId="Heading3Char">
    <w:name w:val="Heading 3 Char"/>
    <w:basedOn w:val="DefaultParagraphFont"/>
    <w:uiPriority w:val="9"/>
    <w:qFormat/>
    <w:rPr>
      <w:rFonts w:ascii="Arial" w:hAnsi="Arial" w:eastAsia="Arial" w:cs="Arial"/>
      <w:color w:themeColor="accent1" w:themeShade="bf" w:val="0F4761"/>
      <w:sz w:val="28"/>
      <w:szCs w:val="28"/>
    </w:rPr>
  </w:style>
  <w:style w:type="character" w:styleId="Heading4Char">
    <w:name w:val="Heading 4 Char"/>
    <w:basedOn w:val="DefaultParagraphFont"/>
    <w:uiPriority w:val="9"/>
    <w:qFormat/>
    <w:rPr>
      <w:rFonts w:ascii="Arial" w:hAnsi="Arial" w:eastAsia="Arial" w:cs="Arial"/>
      <w:i/>
      <w:iCs/>
      <w:color w:themeColor="accent1" w:themeShade="bf" w:val="0F4761"/>
    </w:rPr>
  </w:style>
  <w:style w:type="character" w:styleId="Heading5Char">
    <w:name w:val="Heading 5 Char"/>
    <w:basedOn w:val="DefaultParagraphFont"/>
    <w:uiPriority w:val="9"/>
    <w:qFormat/>
    <w:rPr>
      <w:rFonts w:ascii="Arial" w:hAnsi="Arial" w:eastAsia="Arial" w:cs="Arial"/>
      <w:color w:themeColor="accent1" w:themeShade="bf" w:val="0F4761"/>
    </w:rPr>
  </w:style>
  <w:style w:type="character" w:styleId="Heading6Char">
    <w:name w:val="Heading 6 Char"/>
    <w:basedOn w:val="DefaultParagraphFont"/>
    <w:uiPriority w:val="9"/>
    <w:qFormat/>
    <w:rPr>
      <w:rFonts w:ascii="Arial" w:hAnsi="Arial" w:eastAsia="Arial" w:cs="Arial"/>
      <w:i/>
      <w:iCs/>
      <w:color w:themeColor="text1" w:themeTint="a6" w:val="595959"/>
    </w:rPr>
  </w:style>
  <w:style w:type="character" w:styleId="Heading7Char">
    <w:name w:val="Heading 7 Char"/>
    <w:basedOn w:val="DefaultParagraphFont"/>
    <w:uiPriority w:val="9"/>
    <w:qFormat/>
    <w:rPr>
      <w:rFonts w:ascii="Arial" w:hAnsi="Arial" w:eastAsia="Arial" w:cs="Arial"/>
      <w:color w:themeColor="text1" w:themeTint="a6" w:val="595959"/>
    </w:rPr>
  </w:style>
  <w:style w:type="character" w:styleId="Heading8Char">
    <w:name w:val="Heading 8 Char"/>
    <w:basedOn w:val="DefaultParagraphFont"/>
    <w:uiPriority w:val="9"/>
    <w:qFormat/>
    <w:rPr>
      <w:rFonts w:ascii="Arial" w:hAnsi="Arial" w:eastAsia="Arial" w:cs="Arial"/>
      <w:i/>
      <w:iCs/>
      <w:color w:themeColor="text1" w:themeTint="d8" w:val="272727"/>
    </w:rPr>
  </w:style>
  <w:style w:type="character" w:styleId="Heading9Char">
    <w:name w:val="Heading 9 Char"/>
    <w:basedOn w:val="DefaultParagraphFont"/>
    <w:uiPriority w:val="9"/>
    <w:qFormat/>
    <w:rPr>
      <w:rFonts w:ascii="Arial" w:hAnsi="Arial" w:eastAsia="Arial" w:cs="Arial"/>
      <w:i/>
      <w:iCs/>
      <w:color w:themeColor="text1" w:themeTint="d8" w:val="272727"/>
    </w:rPr>
  </w:style>
  <w:style w:type="character" w:styleId="TitleChar">
    <w:name w:val="Title Char"/>
    <w:basedOn w:val="DefaultParagraphFont"/>
    <w:uiPriority w:val="10"/>
    <w:qFormat/>
    <w:rPr>
      <w:rFonts w:ascii="Arial" w:hAnsi="Arial" w:eastAsia="Arial" w:cs="Arial"/>
      <w:spacing w:val="-10"/>
      <w:sz w:val="56"/>
      <w:szCs w:val="56"/>
    </w:rPr>
  </w:style>
  <w:style w:type="character" w:styleId="SubtitleChar">
    <w:name w:val="Subtitle Char"/>
    <w:basedOn w:val="DefaultParagraphFont"/>
    <w:uiPriority w:val="11"/>
    <w:qFormat/>
    <w:rPr>
      <w:color w:themeColor="text1" w:themeTint="a6" w:val="595959"/>
      <w:spacing w:val="15"/>
      <w:sz w:val="28"/>
      <w:szCs w:val="28"/>
    </w:rPr>
  </w:style>
  <w:style w:type="character" w:styleId="QuoteChar">
    <w:name w:val="Quote Char"/>
    <w:basedOn w:val="DefaultParagraphFont"/>
    <w:uiPriority w:val="29"/>
    <w:qFormat/>
    <w:rPr>
      <w:i/>
      <w:iCs/>
      <w:color w:themeColor="text1" w:themeTint="bf" w:val="404040"/>
    </w:rPr>
  </w:style>
  <w:style w:type="character" w:styleId="IntenseEmphasis">
    <w:name w:val="Intense Emphasis"/>
    <w:basedOn w:val="DefaultParagraphFont"/>
    <w:uiPriority w:val="21"/>
    <w:qFormat/>
    <w:rPr>
      <w:i/>
      <w:iCs/>
      <w:color w:themeColor="accent1" w:themeShade="bf" w:val="0F4761"/>
    </w:rPr>
  </w:style>
  <w:style w:type="character" w:styleId="IntenseQuoteChar">
    <w:name w:val="Intense Quote Char"/>
    <w:basedOn w:val="DefaultParagraphFont"/>
    <w:uiPriority w:val="30"/>
    <w:qFormat/>
    <w:rPr>
      <w:i/>
      <w:iCs/>
      <w:color w:themeColor="accent1" w:themeShade="bf" w:val="0F4761"/>
    </w:rPr>
  </w:style>
  <w:style w:type="character" w:styleId="IntenseReference">
    <w:name w:val="Intense Reference"/>
    <w:basedOn w:val="DefaultParagraphFont"/>
    <w:uiPriority w:val="32"/>
    <w:qFormat/>
    <w:rPr>
      <w:b/>
      <w:bCs/>
      <w:smallCaps/>
      <w:color w:themeColor="accent1" w:themeShade="bf" w:val="0F4761"/>
      <w:spacing w:val="5"/>
    </w:rPr>
  </w:style>
  <w:style w:type="character" w:styleId="SubtleEmphasis">
    <w:name w:val="Subtle Emphasis"/>
    <w:basedOn w:val="DefaultParagraphFont"/>
    <w:uiPriority w:val="19"/>
    <w:qFormat/>
    <w:rPr>
      <w:i/>
      <w:iCs/>
      <w:color w:themeColor="text1" w:themeTint="bf" w:val="404040"/>
    </w:rPr>
  </w:style>
  <w:style w:type="character" w:styleId="Strong">
    <w:name w:val="Strong"/>
    <w:basedOn w:val="DefaultParagraphFont"/>
    <w:uiPriority w:val="22"/>
    <w:qFormat/>
    <w:rPr>
      <w:b/>
      <w:bCs/>
    </w:rPr>
  </w:style>
  <w:style w:type="character" w:styleId="SubtleReference">
    <w:name w:val="Subtle Reference"/>
    <w:basedOn w:val="DefaultParagraphFont"/>
    <w:uiPriority w:val="31"/>
    <w:qFormat/>
    <w:rPr>
      <w:smallCaps/>
      <w:color w:themeColor="text1" w:themeTint="a5" w:val="5A5A5A"/>
    </w:rPr>
  </w:style>
  <w:style w:type="character" w:styleId="BookTitle">
    <w:name w:val="Book Title"/>
    <w:basedOn w:val="DefaultParagraphFont"/>
    <w:uiPriority w:val="33"/>
    <w:qFormat/>
    <w:rPr>
      <w:b/>
      <w:bCs/>
      <w:i/>
      <w:iCs/>
      <w:spacing w:val="5"/>
    </w:rPr>
  </w:style>
  <w:style w:type="character" w:styleId="HeaderChar">
    <w:name w:val="Header Char"/>
    <w:basedOn w:val="DefaultParagraphFont"/>
    <w:uiPriority w:val="99"/>
    <w:qFormat/>
    <w:rPr/>
  </w:style>
  <w:style w:type="character" w:styleId="FooterChar">
    <w:name w:val="Footer Char"/>
    <w:basedOn w:val="DefaultParagraphFont"/>
    <w:uiPriority w:val="99"/>
    <w:qFormat/>
    <w:rPr/>
  </w:style>
  <w:style w:type="character" w:styleId="FootnoteTextChar">
    <w:name w:val="Footnote Text Char"/>
    <w:basedOn w:val="DefaultParagraphFont"/>
    <w:uiPriority w:val="99"/>
    <w:semiHidden/>
    <w:qFormat/>
    <w:rPr>
      <w:sz w:val="20"/>
      <w:szCs w:val="20"/>
    </w:rPr>
  </w:style>
  <w:style w:type="character" w:styleId="FootnoteCharacters">
    <w:name w:val="Footnote Characters"/>
    <w:qFormat/>
    <w:rPr>
      <w:vertAlign w:val="superscript"/>
    </w:rPr>
  </w:style>
  <w:style w:type="character" w:styleId="Caracteresdanotaderodap">
    <w:name w:val="Caracteres da nota de rodapé"/>
    <w:qFormat/>
    <w:rPr>
      <w:vertAlign w:val="superscript"/>
    </w:rPr>
  </w:style>
  <w:style w:type="character" w:styleId="FootnoteCharactersuser">
    <w:name w:val="Footnote Characters (user)"/>
    <w:qFormat/>
    <w:rPr>
      <w:vertAlign w:val="superscript"/>
    </w:rPr>
  </w:style>
  <w:style w:type="character" w:styleId="FootnoteReference">
    <w:name w:val="footnote reference"/>
    <w:rPr>
      <w:vertAlign w:val="superscript"/>
    </w:rPr>
  </w:style>
  <w:style w:type="character" w:styleId="EndnoteTextChar">
    <w:name w:val="Endnote Text Char"/>
    <w:basedOn w:val="DefaultParagraphFont"/>
    <w:uiPriority w:val="99"/>
    <w:semiHidden/>
    <w:qFormat/>
    <w:rPr>
      <w:sz w:val="20"/>
      <w:szCs w:val="20"/>
    </w:rPr>
  </w:style>
  <w:style w:type="character" w:styleId="EndnoteCharacters">
    <w:name w:val="Endnote Characters"/>
    <w:qFormat/>
    <w:rPr>
      <w:vertAlign w:val="superscript"/>
    </w:rPr>
  </w:style>
  <w:style w:type="character" w:styleId="Caracteresdanotafinal">
    <w:name w:val="Caracteres da nota final"/>
    <w:qFormat/>
    <w:rPr>
      <w:vertAlign w:val="superscript"/>
    </w:rPr>
  </w:style>
  <w:style w:type="character" w:styleId="EndnoteCharactersuser">
    <w:name w:val="Endnote Characters (user)"/>
    <w:qFormat/>
    <w:rPr>
      <w:vertAlign w:val="superscript"/>
    </w:rPr>
  </w:style>
  <w:style w:type="character" w:styleId="EndnoteReference">
    <w:name w:val="endnote reference"/>
    <w:rPr>
      <w:vertAlign w:val="superscript"/>
    </w:rPr>
  </w:style>
  <w:style w:type="character" w:styleId="Hyperlink">
    <w:name w:val="Hyperlink"/>
    <w:basedOn w:val="DefaultParagraphFont"/>
    <w:uiPriority w:val="99"/>
    <w:unhideWhenUsed/>
    <w:rPr>
      <w:color w:themeColor="hyperlink" w:val="0563C1"/>
      <w:u w:val="single"/>
    </w:rPr>
  </w:style>
  <w:style w:type="character" w:styleId="FollowedHyperlink">
    <w:name w:val="FollowedHyperlink"/>
    <w:basedOn w:val="DefaultParagraphFont"/>
    <w:uiPriority w:val="99"/>
    <w:semiHidden/>
    <w:unhideWhenUsed/>
    <w:rPr>
      <w:color w:themeColor="followedHyperlink" w:val="954F72"/>
      <w:u w:val="single"/>
    </w:rPr>
  </w:style>
  <w:style w:type="character" w:styleId="PlaceholderText">
    <w:name w:val="Placeholder Text"/>
    <w:basedOn w:val="DefaultParagraphFont"/>
    <w:uiPriority w:val="99"/>
    <w:semiHidden/>
    <w:qFormat/>
    <w:rPr>
      <w:color w:val="666666"/>
    </w:rPr>
  </w:style>
  <w:style w:type="character" w:styleId="StrongEmphasis" w:customStyle="1">
    <w:name w:val="Strong Emphasis"/>
    <w:qFormat/>
    <w:rPr>
      <w:b/>
      <w:bCs/>
    </w:rPr>
  </w:style>
  <w:style w:type="character" w:styleId="Bullets" w:customStyle="1">
    <w:name w:val="Bullets"/>
    <w:qFormat/>
    <w:rPr>
      <w:rFonts w:ascii="OpenSymbol" w:hAnsi="OpenSymbol" w:eastAsia="OpenSymbol" w:cs="OpenSymbol"/>
    </w:rPr>
  </w:style>
  <w:style w:type="character" w:styleId="Smbolosnumricos" w:customStyle="1">
    <w:name w:val="Símbolos numéricos"/>
    <w:qFormat/>
    <w:rPr/>
  </w:style>
  <w:style w:type="character" w:styleId="Emphasis" w:customStyle="1">
    <w:name w:val="Emphasis"/>
    <w:qFormat/>
    <w:rPr>
      <w:i/>
      <w:iCs/>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pPr>
      <w:spacing w:lineRule="auto" w:line="276" w:before="0" w:after="140"/>
    </w:pPr>
    <w:rPr/>
  </w:style>
  <w:style w:type="paragraph" w:styleId="List" w:customStyle="1">
    <w:name w:val="List"/>
    <w:basedOn w:val="Textbody"/>
    <w:pPr/>
    <w:rPr>
      <w:rFonts w:cs="Noto Sans Devanagari"/>
    </w:rPr>
  </w:style>
  <w:style w:type="paragraph" w:styleId="Caption" w:customStyle="1">
    <w:name w:val="caption"/>
    <w:basedOn w:val="Standard"/>
    <w:qFormat/>
    <w:pPr>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Ttulo" w:customStyle="1">
    <w:name w:val="Título"/>
    <w:basedOn w:val="Standard"/>
    <w:next w:val="BodyText"/>
    <w:qFormat/>
    <w:pPr>
      <w:keepNext w:val="true"/>
      <w:spacing w:before="240" w:after="120"/>
    </w:pPr>
    <w:rPr>
      <w:rFonts w:ascii="Liberation Sans" w:hAnsi="Liberation Sans" w:eastAsia="Noto Sans CJK SC" w:cs="Noto Sans Devanagari"/>
      <w:sz w:val="28"/>
      <w:szCs w:val="28"/>
    </w:rPr>
  </w:style>
  <w:style w:type="paragraph" w:styleId="ndice" w:customStyle="1">
    <w:name w:val="Índice"/>
    <w:basedOn w:val="Standard"/>
    <w:qFormat/>
    <w:pPr/>
    <w:rPr>
      <w:rFonts w:cs="Noto Sans Devanagari"/>
    </w:rPr>
  </w:style>
  <w:style w:type="paragraph" w:styleId="Title">
    <w:name w:val="Title"/>
    <w:basedOn w:val="Normal"/>
    <w:uiPriority w:val="10"/>
    <w:qFormat/>
    <w:pPr>
      <w:spacing w:lineRule="auto" w:line="240" w:before="0" w:after="80"/>
      <w:contextualSpacing/>
    </w:pPr>
    <w:rPr>
      <w:rFonts w:ascii="Arial" w:hAnsi="Arial" w:eastAsia="Arial" w:cs="Arial"/>
      <w:spacing w:val="-10"/>
      <w:sz w:val="56"/>
      <w:szCs w:val="56"/>
    </w:rPr>
  </w:style>
  <w:style w:type="paragraph" w:styleId="Subtitle">
    <w:name w:val="Subtitle"/>
    <w:basedOn w:val="Normal"/>
    <w:uiPriority w:val="11"/>
    <w:qFormat/>
    <w:pPr/>
    <w:rPr>
      <w:color w:themeColor="text1" w:themeTint="a6" w:val="595959"/>
      <w:spacing w:val="15"/>
      <w:sz w:val="28"/>
      <w:szCs w:val="28"/>
    </w:rPr>
  </w:style>
  <w:style w:type="paragraph" w:styleId="Quote">
    <w:name w:val="Quote"/>
    <w:basedOn w:val="Normal"/>
    <w:uiPriority w:val="29"/>
    <w:qFormat/>
    <w:pPr>
      <w:spacing w:before="160" w:after="0"/>
      <w:jc w:val="center"/>
    </w:pPr>
    <w:rPr>
      <w:i/>
      <w:iCs/>
      <w:color w:themeColor="text1" w:themeTint="bf" w:val="404040"/>
    </w:rPr>
  </w:style>
  <w:style w:type="paragraph" w:styleId="ListParagraph">
    <w:name w:val="List Paragraph"/>
    <w:basedOn w:val="Normal"/>
    <w:uiPriority w:val="34"/>
    <w:qFormat/>
    <w:pPr>
      <w:spacing w:before="0" w:after="0"/>
      <w:ind w:start="720"/>
      <w:contextualSpacing/>
    </w:pPr>
    <w:rPr/>
  </w:style>
  <w:style w:type="paragraph" w:styleId="IntenseQuote">
    <w:name w:val="Intense Quote"/>
    <w:basedOn w:val="Normal"/>
    <w:uiPriority w:val="30"/>
    <w:qFormat/>
    <w:pPr>
      <w:pBdr>
        <w:top w:val="single" w:sz="4" w:space="10" w:color="0F4761" w:themeColor="accent1" w:themeShade="bf"/>
        <w:bottom w:val="single" w:sz="4" w:space="10" w:color="0F4761" w:themeColor="accent1" w:themeShade="bf"/>
      </w:pBdr>
      <w:spacing w:before="360" w:after="360"/>
      <w:ind w:start="864" w:end="864"/>
      <w:jc w:val="center"/>
    </w:pPr>
    <w:rPr>
      <w:i/>
      <w:iCs/>
      <w:color w:themeColor="accent1" w:themeShade="bf" w:val="0F4761"/>
    </w:rPr>
  </w:style>
  <w:style w:type="paragraph" w:styleId="NoSpacing">
    <w:name w:val="No Spacing"/>
    <w:basedOn w:val="Normal"/>
    <w:uiPriority w:val="1"/>
    <w:qFormat/>
    <w:pPr>
      <w:spacing w:lineRule="auto" w:line="240" w:before="0" w:after="0"/>
    </w:pPr>
    <w:rPr/>
  </w:style>
  <w:style w:type="paragraph" w:styleId="HeaderandFooter">
    <w:name w:val="Header and Footer"/>
    <w:basedOn w:val="Normal"/>
    <w:qFormat/>
    <w:pPr/>
    <w:rPr/>
  </w:style>
  <w:style w:type="paragraph" w:styleId="Header">
    <w:name w:val="header"/>
    <w:basedOn w:val="Normal"/>
    <w:uiPriority w:val="99"/>
    <w:unhideWhenUsed/>
    <w:pPr>
      <w:tabs>
        <w:tab w:val="clear" w:pos="709"/>
        <w:tab w:val="center" w:pos="4844" w:leader="none"/>
        <w:tab w:val="right" w:pos="9689" w:leader="none"/>
      </w:tabs>
      <w:spacing w:lineRule="auto" w:line="240" w:before="0" w:after="0"/>
    </w:pPr>
    <w:rPr/>
  </w:style>
  <w:style w:type="paragraph" w:styleId="Footer">
    <w:name w:val="footer"/>
    <w:basedOn w:val="Normal"/>
    <w:uiPriority w:val="99"/>
    <w:unhideWhenUsed/>
    <w:pPr>
      <w:tabs>
        <w:tab w:val="clear" w:pos="709"/>
        <w:tab w:val="center" w:pos="4844" w:leader="none"/>
        <w:tab w:val="right" w:pos="9689" w:leader="none"/>
      </w:tabs>
      <w:spacing w:lineRule="auto" w:line="240" w:before="0" w:after="0"/>
    </w:pPr>
    <w:rPr/>
  </w:style>
  <w:style w:type="paragraph" w:styleId="FootnoteText">
    <w:name w:val="footnote text"/>
    <w:basedOn w:val="Normal"/>
    <w:uiPriority w:val="99"/>
    <w:semiHidden/>
    <w:unhideWhenUsed/>
    <w:pPr>
      <w:spacing w:lineRule="auto" w:line="240" w:before="0" w:after="0"/>
    </w:pPr>
    <w:rPr>
      <w:sz w:val="20"/>
      <w:szCs w:val="20"/>
    </w:rPr>
  </w:style>
  <w:style w:type="paragraph" w:styleId="EndnoteText">
    <w:name w:val="endnote text"/>
    <w:basedOn w:val="Normal"/>
    <w:uiPriority w:val="99"/>
    <w:semiHidden/>
    <w:unhideWhenUsed/>
    <w:pPr>
      <w:spacing w:lineRule="auto" w:line="240" w:before="0" w:after="0"/>
    </w:pPr>
    <w:rPr>
      <w:sz w:val="20"/>
      <w:szCs w:val="20"/>
    </w:rPr>
  </w:style>
  <w:style w:type="paragraph" w:styleId="TOC1">
    <w:name w:val="toc 1"/>
    <w:basedOn w:val="Normal"/>
    <w:uiPriority w:val="39"/>
    <w:unhideWhenUsed/>
    <w:pPr>
      <w:spacing w:before="0" w:after="100"/>
    </w:pPr>
    <w:rPr/>
  </w:style>
  <w:style w:type="paragraph" w:styleId="TOC2">
    <w:name w:val="toc 2"/>
    <w:basedOn w:val="Normal"/>
    <w:uiPriority w:val="39"/>
    <w:unhideWhenUsed/>
    <w:pPr>
      <w:spacing w:before="0" w:after="100"/>
      <w:ind w:start="220"/>
    </w:pPr>
    <w:rPr/>
  </w:style>
  <w:style w:type="paragraph" w:styleId="TOC3">
    <w:name w:val="toc 3"/>
    <w:basedOn w:val="Normal"/>
    <w:uiPriority w:val="39"/>
    <w:unhideWhenUsed/>
    <w:pPr>
      <w:spacing w:before="0" w:after="100"/>
      <w:ind w:start="440"/>
    </w:pPr>
    <w:rPr/>
  </w:style>
  <w:style w:type="paragraph" w:styleId="TOC4">
    <w:name w:val="toc 4"/>
    <w:basedOn w:val="Normal"/>
    <w:uiPriority w:val="39"/>
    <w:unhideWhenUsed/>
    <w:pPr>
      <w:spacing w:before="0" w:after="100"/>
      <w:ind w:start="660"/>
    </w:pPr>
    <w:rPr/>
  </w:style>
  <w:style w:type="paragraph" w:styleId="TOC5">
    <w:name w:val="toc 5"/>
    <w:basedOn w:val="Normal"/>
    <w:uiPriority w:val="39"/>
    <w:unhideWhenUsed/>
    <w:pPr>
      <w:spacing w:before="0" w:after="100"/>
      <w:ind w:start="880"/>
    </w:pPr>
    <w:rPr/>
  </w:style>
  <w:style w:type="paragraph" w:styleId="TOC6">
    <w:name w:val="toc 6"/>
    <w:basedOn w:val="Normal"/>
    <w:uiPriority w:val="39"/>
    <w:unhideWhenUsed/>
    <w:pPr>
      <w:spacing w:before="0" w:after="100"/>
      <w:ind w:start="1100"/>
    </w:pPr>
    <w:rPr/>
  </w:style>
  <w:style w:type="paragraph" w:styleId="TOC7">
    <w:name w:val="toc 7"/>
    <w:basedOn w:val="Normal"/>
    <w:uiPriority w:val="39"/>
    <w:unhideWhenUsed/>
    <w:pPr>
      <w:spacing w:before="0" w:after="100"/>
      <w:ind w:start="1320"/>
    </w:pPr>
    <w:rPr/>
  </w:style>
  <w:style w:type="paragraph" w:styleId="TOC8">
    <w:name w:val="toc 8"/>
    <w:basedOn w:val="Normal"/>
    <w:uiPriority w:val="39"/>
    <w:unhideWhenUsed/>
    <w:pPr>
      <w:spacing w:before="0" w:after="100"/>
      <w:ind w:start="1540"/>
    </w:pPr>
    <w:rPr/>
  </w:style>
  <w:style w:type="paragraph" w:styleId="TOC9">
    <w:name w:val="toc 9"/>
    <w:basedOn w:val="Normal"/>
    <w:uiPriority w:val="39"/>
    <w:unhideWhenUsed/>
    <w:pPr>
      <w:spacing w:before="0" w:after="100"/>
      <w:ind w:start="1760"/>
    </w:pPr>
    <w:rPr/>
  </w:style>
  <w:style w:type="paragraph" w:styleId="IndexHeading">
    <w:name w:val="index heading"/>
    <w:basedOn w:val="Ttulo"/>
    <w:pPr/>
    <w:rPr/>
  </w:style>
  <w:style w:type="paragraph" w:styleId="TOCHeading">
    <w:name w:val="TOC Heading"/>
    <w:uiPriority w:val="39"/>
    <w:unhideWhenUsed/>
    <w:qFormat/>
    <w:pPr>
      <w:widowControl/>
      <w:suppressAutoHyphens w:val="true"/>
      <w:bidi w:val="0"/>
      <w:spacing w:before="0" w:after="0"/>
      <w:jc w:val="start"/>
    </w:pPr>
    <w:rPr>
      <w:rFonts w:ascii="Times New Roman" w:hAnsi="Times New Roman" w:eastAsia="Noto Serif SC" w:cs="Noto Sans"/>
      <w:color w:val="auto"/>
      <w:kern w:val="0"/>
      <w:sz w:val="20"/>
      <w:szCs w:val="20"/>
      <w:lang w:val="en-GB" w:eastAsia="zh-CN" w:bidi="hi-IN"/>
    </w:rPr>
  </w:style>
  <w:style w:type="paragraph" w:styleId="TableofFigures">
    <w:name w:val="table of figures"/>
    <w:basedOn w:val="Normal"/>
    <w:uiPriority w:val="99"/>
    <w:unhideWhenUsed/>
    <w:pPr>
      <w:spacing w:before="0" w:afterAutospacing="0" w:after="0"/>
    </w:pPr>
    <w:rPr/>
  </w:style>
  <w:style w:type="paragraph" w:styleId="DStyleparagraph">
    <w:name w:val="DStyle_paragraph"/>
    <w:qFormat/>
    <w:pPr>
      <w:widowControl/>
      <w:suppressAutoHyphens w:val="true"/>
      <w:bidi w:val="0"/>
      <w:spacing w:before="0" w:after="0"/>
      <w:jc w:val="start"/>
    </w:pPr>
    <w:rPr>
      <w:rFonts w:ascii="Liberation Serif" w:hAnsi="Liberation Serif" w:eastAsia="Noto Serif CJK SC" w:cs="Noto Sans Devanagari"/>
      <w:color w:val="auto"/>
      <w:kern w:val="0"/>
      <w:sz w:val="24"/>
      <w:szCs w:val="24"/>
      <w:lang w:val="fr-FR" w:eastAsia="zh-CN" w:bidi="hi-IN"/>
    </w:rPr>
  </w:style>
  <w:style w:type="paragraph" w:styleId="Standard" w:customStyle="1">
    <w:name w:val="Standard"/>
    <w:basedOn w:val="DStyleparagraph"/>
    <w:qFormat/>
    <w:pPr/>
    <w:rPr/>
  </w:style>
  <w:style w:type="paragraph" w:styleId="Textbody" w:customStyle="1">
    <w:name w:val="Text body"/>
    <w:basedOn w:val="Standard"/>
    <w:qFormat/>
    <w:pPr>
      <w:spacing w:lineRule="auto" w:line="276" w:before="0" w:after="140"/>
    </w:pPr>
    <w:rPr/>
  </w:style>
  <w:style w:type="paragraph" w:styleId="Contedodatabela" w:customStyle="1">
    <w:name w:val="Conteúdo da tabela"/>
    <w:basedOn w:val="Standard"/>
    <w:qFormat/>
    <w:pPr>
      <w:widowControl w:val="false"/>
    </w:pPr>
    <w:rPr/>
  </w:style>
  <w:style w:type="paragraph" w:styleId="Ttulodatabela" w:customStyle="1">
    <w:name w:val="Título da tabela"/>
    <w:basedOn w:val="Contedodatabela"/>
    <w:qFormat/>
    <w:pPr>
      <w:jc w:val="center"/>
    </w:pPr>
    <w:rPr>
      <w:b/>
      <w:bCs/>
    </w:rPr>
  </w:style>
  <w:style w:type="paragraph" w:styleId="DefaultDrawingStyle" w:customStyle="1">
    <w:name w:val="Default Drawing Style"/>
    <w:basedOn w:val="DStyleparagraph"/>
    <w:qFormat/>
    <w:pPr>
      <w:spacing w:lineRule="atLeast" w:line="200" w:before="0" w:after="0"/>
    </w:pPr>
    <w:rPr>
      <w:rFonts w:ascii="Noto Sans Devanagari" w:hAnsi="Noto Sans Devanagari" w:eastAsia="Noto Sans" w:cs="Noto Sans"/>
      <w:b w:val="false"/>
      <w:i w:val="false"/>
      <w:caps w:val="false"/>
      <w:smallCaps w:val="false"/>
      <w:strike w:val="false"/>
      <w:dstrike w:val="false"/>
      <w:color w:val="auto"/>
      <w:sz w:val="36"/>
      <w:szCs w:val="24"/>
      <w:u w:val="none"/>
    </w:rPr>
  </w:style>
  <w:style w:type="paragraph" w:styleId="Comment">
    <w:name w:val="Comment"/>
    <w:basedOn w:val="Normal"/>
    <w:qFormat/>
    <w:pPr>
      <w:spacing w:lineRule="auto" w:line="240" w:before="56" w:after="0"/>
      <w:ind w:hanging="0" w:start="57" w:end="57"/>
    </w:pPr>
    <w:rPr>
      <w:color w:val="auto"/>
      <w:sz w:val="20"/>
      <w:szCs w:val="20"/>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numbering" w:styleId="Semlista" w:default="1">
    <w:name w:val="Sem lista"/>
    <w:uiPriority w:val="99"/>
    <w:semiHidden/>
    <w:unhideWhenUsed/>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bbc.com/news/articles/c9w15nggj58o" TargetMode="External"/><Relationship Id="rId3" Type="http://schemas.openxmlformats.org/officeDocument/2006/relationships/hyperlink" Target="https://showyourstripes.info/" TargetMode="External"/><Relationship Id="rId4" Type="http://schemas.openxmlformats.org/officeDocument/2006/relationships/hyperlink" Target="https://doughnuteconomics.org/about-doughnut-economics" TargetMode="External"/><Relationship Id="rId5" Type="http://schemas.openxmlformats.org/officeDocument/2006/relationships/hyperlink" Target="https://www.stockholmresilience.org/research/planetary-boundaries.html" TargetMode="External"/><Relationship Id="rId6" Type="http://schemas.openxmlformats.org/officeDocument/2006/relationships/hyperlink" Target="https://www.carbonbrief.org/explainer-nine-tipping-points-that-could-be-triggered-by-climate-change/" TargetMode="External"/><Relationship Id="rId7" Type="http://schemas.openxmlformats.org/officeDocument/2006/relationships/hyperlink" Target="https://www.coursera.org/learn/climate-science" TargetMode="External"/><Relationship Id="rId8" Type="http://schemas.openxmlformats.org/officeDocument/2006/relationships/hyperlink" Target="https://www.oxfam.org/en/research/climate-equality-planet-99" TargetMode="External"/><Relationship Id="rId9" Type="http://schemas.openxmlformats.org/officeDocument/2006/relationships/hyperlink" Target="https://www.degrowthinstitute.org/toolkit" TargetMode="External"/><Relationship Id="rId10" Type="http://schemas.openxmlformats.org/officeDocument/2006/relationships/hyperlink" Target="https://www.green-guidance.eu/resources/evidence-on-green-guidance-a-review-of-the-literature/" TargetMode="External"/><Relationship Id="rId11" Type="http://schemas.openxmlformats.org/officeDocument/2006/relationships/hyperlink" Target="https://www.green-guidance.eu/methodologies" TargetMode="External"/><Relationship Id="rId12" Type="http://schemas.openxmlformats.org/officeDocument/2006/relationships/hyperlink" Target="https://www.green-guidance.eu/methodology/questions-and-conversation-starters/" TargetMode="External"/><Relationship Id="rId13" Type="http://schemas.openxmlformats.org/officeDocument/2006/relationships/hyperlink" Target="https://www.green-guidance.eu/methodology/introduction-to-green-jobs/" TargetMode="External"/><Relationship Id="rId14" Type="http://schemas.openxmlformats.org/officeDocument/2006/relationships/hyperlink" Target="https://padlet.com/Mapa_Karier/exploring-green-guidance-resources-for-educators-en-ww4t99rctv71rat5" TargetMode="External"/><Relationship Id="rId15" Type="http://schemas.openxmlformats.org/officeDocument/2006/relationships/hyperlink" Target="https://www.upstreampodcast.org/documentaries" TargetMode="External"/><Relationship Id="rId16" Type="http://schemas.openxmlformats.org/officeDocument/2006/relationships/hyperlink" Target="https://globaltapestryofalternatives.org/index" TargetMode="External"/><Relationship Id="rId17" Type="http://schemas.openxmlformats.org/officeDocument/2006/relationships/hyperlink" Target="https://degrowth.info/en" TargetMode="External"/><Relationship Id="rId18" Type="http://schemas.openxmlformats.org/officeDocument/2006/relationships/hyperlink" Target="https://weall.org/" TargetMode="External"/><Relationship Id="rId19" Type="http://schemas.openxmlformats.org/officeDocument/2006/relationships/hyperlink" Target="https://www.itcilo.org/courses/mooc-social-and-solidarity-economy" TargetMode="External"/><Relationship Id="rId20" Type="http://schemas.openxmlformats.org/officeDocument/2006/relationships/hyperlink" Target="https://www.green-guidance.eu/methodologies" TargetMode="External"/><Relationship Id="rId21" Type="http://schemas.openxmlformats.org/officeDocument/2006/relationships/hyperlink" Target="https://www.green-guidance.eu/methodology/seeking-input-from-clients-on-environmental-issues/" TargetMode="External"/><Relationship Id="rId22" Type="http://schemas.openxmlformats.org/officeDocument/2006/relationships/hyperlink" Target="https://www.linkedin.com/groups/14488361/" TargetMode="External"/><Relationship Id="rId23" Type="http://schemas.openxmlformats.org/officeDocument/2006/relationships/hyperlink" Target="https://lab-greenguidance.fr/" TargetMode="External"/><Relationship Id="rId24" Type="http://schemas.openxmlformats.org/officeDocument/2006/relationships/hyperlink" Target="https://nosgestesclimat.fr/en" TargetMode="External"/><Relationship Id="rId25" Type="http://schemas.openxmlformats.org/officeDocument/2006/relationships/hyperlink" Target="https://www.green-guidance.eu/methodology/10-steps-to-advocacy/" TargetMode="External"/><Relationship Id="rId26" Type="http://schemas.openxmlformats.org/officeDocument/2006/relationships/header" Target="header1.xml"/><Relationship Id="rId27" Type="http://schemas.openxmlformats.org/officeDocument/2006/relationships/header" Target="header2.xml"/><Relationship Id="rId28" Type="http://schemas.openxmlformats.org/officeDocument/2006/relationships/header" Target="header3.xml"/><Relationship Id="rId29" Type="http://schemas.openxmlformats.org/officeDocument/2006/relationships/numbering" Target="numbering.xml"/><Relationship Id="rId30" Type="http://schemas.openxmlformats.org/officeDocument/2006/relationships/fontTable" Target="fontTable.xml"/><Relationship Id="rId31" Type="http://schemas.openxmlformats.org/officeDocument/2006/relationships/settings" Target="settings.xml"/><Relationship Id="rId32" Type="http://schemas.openxmlformats.org/officeDocument/2006/relationships/theme" Target="theme/theme1.xml"/>
</Relationships>
</file>

<file path=word/_rels/header2.xml.rels><?xml version="1.0" encoding="UTF-8"?>
<Relationships xmlns="http://schemas.openxmlformats.org/package/2006/relationships"><Relationship Id="rId1" Type="http://schemas.openxmlformats.org/officeDocument/2006/relationships/image" Target="media/image1.png"/>
</Relationships>
</file>

<file path=word/_rels/header3.xml.rels><?xml version="1.0" encoding="UTF-8"?>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xmlns:r="http://schemas.openxmlformats.org/officeDocument/2006/relationships" name="">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pitchFamily="0" charset="1"/>
        <a:ea typeface="Arial" pitchFamily="0" charset="1"/>
        <a:cs typeface="Arial" pitchFamily="0" charset="1"/>
      </a:majorFont>
      <a:minorFont>
        <a:latin typeface="Arial" pitchFamily="0" charset="1"/>
        <a:ea typeface="Arial" pitchFamily="0" charset="1"/>
        <a:cs typeface="Arial" pitchFamily="0" charset="1"/>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a:ln w="25400"/>
        <a:ln w="38100"/>
      </a:lnStyleLst>
      <a:effectStyleLst>
        <a:effectStyle>
          <a:effectLst/>
        </a:effectStyle>
        <a:effectStyle>
          <a:effectLst/>
        </a:effectStyle>
        <a:effectStyle>
          <a:effectLst/>
        </a:effectStyle>
      </a:effectStyleLst>
      <a:bgFillStyleLst>
        <a:solidFill>
          <a:schemeClr val="phClr"/>
        </a:solidFill>
        <a:solidFill>
          <a:srgbClr val="000000"/>
        </a:solidFill>
        <a:solidFill>
          <a:srgbClr val="000000"/>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250</TotalTime>
  <Application>LibreOffice/26.2.2.1$Linux_X86_64 LibreOffice_project/620$Build-1</Application>
  <AppVersion>15.0000</AppVersion>
  <Pages>4</Pages>
  <Words>1435</Words>
  <Characters>8652</Characters>
  <CharactersWithSpaces>9789</CharactersWithSpaces>
  <Paragraphs>277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2025-03-21T12:14:25Z</dcterms:created>
  <dc:creator/>
  <dc:description/>
  <dc:language>en-GB</dc:language>
  <cp:lastModifiedBy/>
  <dcterms:modified xsi:type="dcterms:W3CDTF">2026-03-24T10:15:17Z</dcterms:modified>
  <cp:revision>19</cp:revision>
  <dc:subject/>
  <dc:title/>
</cp:coreProperties>
</file>

<file path=docProps/custom.xml><?xml version="1.0" encoding="utf-8"?>
<Properties xmlns="http://schemas.openxmlformats.org/officeDocument/2006/custom-properties" xmlns:vt="http://schemas.openxmlformats.org/officeDocument/2006/docPropsVTypes"/>
</file>