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bidi w:val="0"/>
        <w:spacing w:before="160" w:after="80"/>
        <w:ind w:hanging="0" w:start="0" w:end="0"/>
        <w:rPr/>
      </w:pPr>
      <w:bookmarkStart w:id="0" w:name="__DdeLink__658_3079405851"/>
      <w:r>
        <w:rPr>
          <w:rFonts w:eastAsia="Times New Roman" w:cs="Times New Roman" w:ascii="Times New Roman" w:hAnsi="Times New Roman"/>
          <w:b/>
          <w:color w:val="000000"/>
          <w:sz w:val="28"/>
        </w:rPr>
        <w:t xml:space="preserve">Green Guidance Self-Evaluation Tool for </w:t>
      </w:r>
      <w:bookmarkEnd w:id="0"/>
      <w:r>
        <w:rPr>
          <w:rFonts w:eastAsia="Times New Roman" w:cs="Times New Roman" w:ascii="Times New Roman" w:hAnsi="Times New Roman"/>
          <w:b/>
          <w:color w:val="000000"/>
          <w:sz w:val="28"/>
        </w:rPr>
        <w:t>Guidance Providers</w:t>
      </w:r>
    </w:p>
    <w:p>
      <w:pPr>
        <w:pStyle w:val="Normal"/>
        <w:ind w:hanging="0" w:start="0" w:end="0"/>
        <w:rPr>
          <w:highlight w:val="none"/>
        </w:rPr>
      </w:pPr>
      <w:r>
        <w:rPr/>
        <w:t>This tool is designed for organisations that provide career guidance and want to integrate sustainability into their services using the principles of Green Guidance. It is not an audit or a scoring system, its purpose is to help guidance providers organisation identify where they already stand and where they want to move forward</w:t>
      </w:r>
      <w:bookmarkStart w:id="1" w:name="__DdeLink__677_2831457445"/>
      <w:bookmarkStart w:id="2" w:name="__DdeLink__658_2360008653"/>
      <w:r>
        <w:rPr/>
        <w:t>.</w:t>
      </w:r>
      <w:bookmarkEnd w:id="1"/>
      <w:bookmarkEnd w:id="2"/>
      <w:r>
        <w:rPr/>
        <w:t xml:space="preserve"> We are aware of its aspirational character and more work needs to be done in the future to provide realistic pathways and examples.</w:t>
      </w:r>
    </w:p>
    <w:p>
      <w:pPr>
        <w:pStyle w:val="Normal"/>
        <w:ind w:hanging="0" w:start="0" w:end="0"/>
        <w:rPr>
          <w:highlight w:val="none"/>
        </w:rPr>
      </w:pPr>
      <w:r>
        <w:rPr/>
      </w:r>
    </w:p>
    <w:p>
      <w:pPr>
        <w:pStyle w:val="Normal"/>
        <w:ind w:hanging="0" w:start="0" w:end="0"/>
        <w:rPr/>
      </w:pPr>
      <w:r>
        <w:rPr/>
        <w:t>How to use this tool:</w:t>
      </w:r>
    </w:p>
    <w:p>
      <w:pPr>
        <w:pStyle w:val="ListParagraph"/>
        <w:widowControl/>
        <w:numPr>
          <w:ilvl w:val="0"/>
          <w:numId w:val="1"/>
        </w:numPr>
        <w:suppressAutoHyphens w:val="true"/>
        <w:bidi w:val="0"/>
        <w:spacing w:before="0" w:after="0"/>
        <w:ind w:hanging="360" w:start="900" w:end="0"/>
        <w:contextualSpacing/>
        <w:jc w:val="start"/>
        <w:rPr/>
      </w:pPr>
      <w:r>
        <w:rPr/>
        <w:t xml:space="preserve">Read each statement and mark Yes, No or N/A (non applicable) based on your current situation. </w:t>
      </w:r>
    </w:p>
    <w:p>
      <w:pPr>
        <w:pStyle w:val="ListParagraph"/>
        <w:widowControl/>
        <w:numPr>
          <w:ilvl w:val="0"/>
          <w:numId w:val="1"/>
        </w:numPr>
        <w:suppressAutoHyphens w:val="true"/>
        <w:bidi w:val="0"/>
        <w:spacing w:before="0" w:after="0"/>
        <w:ind w:hanging="360" w:start="900" w:end="0"/>
        <w:contextualSpacing/>
        <w:jc w:val="start"/>
        <w:rPr/>
      </w:pPr>
      <w:r>
        <w:rPr/>
        <w:t>Not all domains will be equally relevant or even feasible to every type of organisation. Use the domains that apply to your context, and set aside those that do not.</w:t>
      </w:r>
    </w:p>
    <w:p>
      <w:pPr>
        <w:pStyle w:val="ListParagraph"/>
        <w:widowControl/>
        <w:numPr>
          <w:ilvl w:val="0"/>
          <w:numId w:val="1"/>
        </w:numPr>
        <w:suppressAutoHyphens w:val="true"/>
        <w:bidi w:val="0"/>
        <w:spacing w:before="0" w:after="0"/>
        <w:ind w:hanging="360" w:start="900" w:end="0"/>
        <w:contextualSpacing/>
        <w:jc w:val="start"/>
        <w:rPr/>
      </w:pPr>
      <w:r>
        <w:rPr/>
        <w:t xml:space="preserve">Some items (especially in Domain D and Domain F) are deliberately ambitious or aspirational. If your organisation is at an early stage of this journey, these statements indicate a longer-term direction. </w:t>
      </w:r>
    </w:p>
    <w:p>
      <w:pPr>
        <w:pStyle w:val="ListParagraph"/>
        <w:widowControl/>
        <w:numPr>
          <w:ilvl w:val="0"/>
          <w:numId w:val="1"/>
        </w:numPr>
        <w:suppressAutoHyphens w:val="true"/>
        <w:bidi w:val="0"/>
        <w:spacing w:before="0" w:after="0"/>
        <w:ind w:hanging="360" w:start="900" w:end="0"/>
        <w:contextualSpacing/>
        <w:jc w:val="start"/>
        <w:rPr/>
      </w:pPr>
      <w:r>
        <w:rPr/>
        <w:t>For each domain, identify 1-2 priority actions to work on over the coming months.</w:t>
      </w:r>
    </w:p>
    <w:p>
      <w:pPr>
        <w:pStyle w:val="ListParagraph"/>
        <w:widowControl/>
        <w:numPr>
          <w:ilvl w:val="0"/>
          <w:numId w:val="1"/>
        </w:numPr>
        <w:suppressAutoHyphens w:val="true"/>
        <w:bidi w:val="0"/>
        <w:spacing w:before="0" w:after="0"/>
        <w:ind w:hanging="360" w:start="900" w:end="0"/>
        <w:contextualSpacing/>
        <w:jc w:val="start"/>
        <w:rPr/>
      </w:pPr>
      <w:r>
        <w:rPr/>
        <w:t>Return to the tool periodically to track your progress.</w:t>
      </w:r>
    </w:p>
    <w:p>
      <w:pPr>
        <w:pStyle w:val="Normal"/>
        <w:ind w:hanging="0" w:start="0" w:end="0"/>
        <w:rPr>
          <w:rFonts w:ascii="Times New Roman" w:hAnsi="Times New Roman" w:eastAsia="Times New Roman" w:cs="Times New Roman"/>
          <w:sz w:val="24"/>
          <w:szCs w:val="24"/>
        </w:rPr>
      </w:pPr>
      <w:r>
        <w:rPr>
          <w:rFonts w:eastAsia="Times New Roman" w:cs="Times New Roman"/>
          <w:sz w:val="24"/>
          <w:szCs w:val="24"/>
        </w:rPr>
      </w:r>
    </w:p>
    <w:p>
      <w:pPr>
        <w:pStyle w:val="Normal"/>
        <w:ind w:hanging="0" w:start="0" w:end="0"/>
        <w:rPr>
          <w:highlight w:val="none"/>
        </w:rPr>
      </w:pPr>
      <w:r>
        <w:rPr/>
      </w:r>
    </w:p>
    <w:tbl>
      <w:tblPr>
        <w:tblStyle w:val="780"/>
        <w:tblW w:w="9593"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1"/>
        <w:gridCol w:w="458"/>
        <w:gridCol w:w="448"/>
        <w:gridCol w:w="416"/>
      </w:tblGrid>
      <w:tr>
        <w:trPr>
          <w:trHeight w:val="275" w:hRule="atLeast"/>
        </w:trPr>
        <w:tc>
          <w:tcPr>
            <w:tcW w:w="827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A: Strategic awareness and commitment</w:t>
            </w:r>
          </w:p>
        </w:tc>
        <w:tc>
          <w:tcPr>
            <w:tcW w:w="4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Yes</w:t>
            </w:r>
          </w:p>
        </w:tc>
        <w:tc>
          <w:tcPr>
            <w:tcW w:w="44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No</w:t>
            </w:r>
          </w:p>
        </w:tc>
        <w:tc>
          <w:tcPr>
            <w:tcW w:w="41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N/A</w:t>
            </w:r>
          </w:p>
        </w:tc>
      </w:tr>
      <w:tr>
        <w:trPr>
          <w:trHeight w:val="602"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The organisation's leadership demonstrates a commitment to integrating sustainability into career guidance.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The organisation has a mission statement, strategic plan, or stated objectives that include sustainability in career guidance.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The organisation has internal policies or working practices that acknowledge environmental and social sustainability.</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bidi w:val="0"/>
              <w:spacing w:lineRule="auto" w:line="240"/>
              <w:rPr>
                <w:rFonts w:eastAsia="Times New Roman" w:cs="Times New Roman"/>
                <w:color w:val="000000"/>
                <w:sz w:val="20"/>
                <w:szCs w:val="20"/>
              </w:rPr>
            </w:pPr>
            <w:r>
              <w:rPr>
                <w:rFonts w:eastAsia="Times New Roman" w:cs="Times New Roman"/>
                <w:color w:val="000000"/>
                <w:sz w:val="20"/>
                <w:szCs w:val="20"/>
              </w:rPr>
              <w:t>4 The organisation has at least one person explicitly dedicated to environmentally sustainable guidance (in the job description, organisational chart…).</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5 The organisation openly communicates its commitment to green guidance to clients, staff, and external stakeholders (e.g. on its website, in its communications and marketing).</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9593" w:type="dxa"/>
            <w:gridSpan w:val="4"/>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3-6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sz w:val="20"/>
          <w:szCs w:val="20"/>
          <w:highlight w:val="none"/>
          <w:lang w:val="en-US"/>
        </w:rPr>
      </w:pPr>
      <w:r>
        <w:rPr>
          <w:sz w:val="20"/>
          <w:szCs w:val="20"/>
          <w:lang w:val="en-US"/>
        </w:rPr>
      </w:r>
    </w:p>
    <w:p>
      <w:pPr>
        <w:pStyle w:val="Standard"/>
        <w:rPr>
          <w:sz w:val="20"/>
          <w:szCs w:val="20"/>
          <w:highlight w:val="none"/>
          <w:lang w:val="en-US"/>
        </w:rPr>
      </w:pPr>
      <w:r>
        <w:rPr>
          <w:sz w:val="20"/>
          <w:szCs w:val="20"/>
          <w:lang w:val="en-US"/>
        </w:rPr>
      </w:r>
    </w:p>
    <w:tbl>
      <w:tblPr>
        <w:tblStyle w:val="780"/>
        <w:tblW w:w="9593"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1"/>
        <w:gridCol w:w="458"/>
        <w:gridCol w:w="448"/>
        <w:gridCol w:w="416"/>
      </w:tblGrid>
      <w:tr>
        <w:trPr>
          <w:trHeight w:val="275" w:hRule="atLeast"/>
        </w:trPr>
        <w:tc>
          <w:tcPr>
            <w:tcW w:w="827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B: Service delivery</w:t>
            </w:r>
          </w:p>
        </w:tc>
        <w:tc>
          <w:tcPr>
            <w:tcW w:w="4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Yes</w:t>
            </w:r>
          </w:p>
        </w:tc>
        <w:tc>
          <w:tcPr>
            <w:tcW w:w="44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No</w:t>
            </w:r>
          </w:p>
        </w:tc>
        <w:tc>
          <w:tcPr>
            <w:tcW w:w="41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N/A</w:t>
            </w:r>
          </w:p>
        </w:tc>
      </w:tr>
      <w:tr>
        <w:trPr>
          <w:trHeight w:val="602"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The organisation integrates sustainability into the design and delivery of its career services (e.g. physical environment, client materials, contracting, intake processes).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The organisation incorporates information on green occupations, sectors affected by the green transition, and sustainable career paths into its services and materials.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The organisation incorporates information on social economy, community initiatives, and alternative economic models into its services and materials.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4 The organisation supports collective and community-oriented approaches to career development alongside individual guidance.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5 The organisation supports practitioners in adapting the level and approach of sustainability discussion to different client needs, situations and readiness.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9593" w:type="dxa"/>
            <w:gridSpan w:val="4"/>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3-6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Normal"/>
        <w:rPr>
          <w:sz w:val="20"/>
          <w:szCs w:val="20"/>
          <w:highlight w:val="none"/>
          <w:lang w:val="en-US"/>
        </w:rPr>
      </w:pPr>
      <w:r>
        <w:rPr>
          <w:sz w:val="20"/>
          <w:szCs w:val="20"/>
          <w:lang w:val="en-US"/>
        </w:rPr>
      </w:r>
      <w:r>
        <w:br w:type="page"/>
      </w:r>
    </w:p>
    <w:p>
      <w:pPr>
        <w:pStyle w:val="Normal"/>
        <w:spacing w:before="0" w:after="0"/>
        <w:rPr>
          <w:sz w:val="20"/>
          <w:szCs w:val="20"/>
          <w:lang w:val="en-US" w:bidi="sk-SK"/>
        </w:rPr>
      </w:pPr>
      <w:r>
        <w:rPr>
          <w:sz w:val="20"/>
          <w:szCs w:val="20"/>
          <w:lang w:val="en-US" w:bidi="sk-SK"/>
        </w:rPr>
      </w:r>
    </w:p>
    <w:tbl>
      <w:tblPr>
        <w:tblStyle w:val="780"/>
        <w:tblW w:w="9593"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1"/>
        <w:gridCol w:w="458"/>
        <w:gridCol w:w="448"/>
        <w:gridCol w:w="416"/>
      </w:tblGrid>
      <w:tr>
        <w:trPr>
          <w:trHeight w:val="275" w:hRule="atLeast"/>
        </w:trPr>
        <w:tc>
          <w:tcPr>
            <w:tcW w:w="827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C: Resources and tools</w:t>
            </w:r>
          </w:p>
        </w:tc>
        <w:tc>
          <w:tcPr>
            <w:tcW w:w="4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Yes</w:t>
            </w:r>
          </w:p>
        </w:tc>
        <w:tc>
          <w:tcPr>
            <w:tcW w:w="44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No</w:t>
            </w:r>
          </w:p>
        </w:tc>
        <w:tc>
          <w:tcPr>
            <w:tcW w:w="41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N/A</w:t>
            </w:r>
          </w:p>
        </w:tc>
      </w:tr>
      <w:tr>
        <w:trPr>
          <w:trHeight w:val="68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The organisation provides practitioners with up-to-date resources on green occupations, training opportunities, and the implications of the green transition for different sectors.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The organisation provides practitioners with tools and methods specifically designed for green guidance (e.g. Green Guidance Toolbox, Handbook...).</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The organisation ensures that staff have adequate access to Green Guidance resources (Handbook, Toolbox, case studies, impact report...) and time to engage with them, adapt them.</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4 The organisation maintains or supports the mapping of local sustainability initiatives, social economy actors, and community networks relevant to its clients.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5 The organisation develops or adapts its own resources and tools that integrate sustainability into career guidance.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9593" w:type="dxa"/>
            <w:gridSpan w:val="4"/>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3-6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tbl>
      <w:tblPr>
        <w:tblStyle w:val="780"/>
        <w:tblW w:w="9593"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1"/>
        <w:gridCol w:w="458"/>
        <w:gridCol w:w="448"/>
        <w:gridCol w:w="416"/>
      </w:tblGrid>
      <w:tr>
        <w:trPr>
          <w:trHeight w:val="275" w:hRule="atLeast"/>
        </w:trPr>
        <w:tc>
          <w:tcPr>
            <w:tcW w:w="8271" w:type="dxa"/>
            <w:tcBorders/>
            <w:vAlign w:val="center"/>
          </w:tcPr>
          <w:p>
            <w:pPr>
              <w:pStyle w:val="Normal"/>
              <w:widowControl/>
              <w:bidi w:val="0"/>
              <w:spacing w:lineRule="auto" w:line="240" w:before="0" w:after="0"/>
              <w:jc w:val="center"/>
              <w:rPr>
                <w:sz w:val="16"/>
                <w:szCs w:val="16"/>
              </w:rPr>
            </w:pPr>
            <w:r>
              <w:rPr>
                <w:rFonts w:eastAsia="Times New Roman" w:cs="Times New Roman"/>
                <w:b/>
                <w:color w:val="000000"/>
                <w:kern w:val="0"/>
                <w:sz w:val="20"/>
                <w:szCs w:val="20"/>
              </w:rPr>
              <w:t>D: Organisational culture and transformative practice</w:t>
            </w:r>
          </w:p>
        </w:tc>
        <w:tc>
          <w:tcPr>
            <w:tcW w:w="4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Yes</w:t>
            </w:r>
          </w:p>
        </w:tc>
        <w:tc>
          <w:tcPr>
            <w:tcW w:w="44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No</w:t>
            </w:r>
          </w:p>
        </w:tc>
        <w:tc>
          <w:tcPr>
            <w:tcW w:w="41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N/A</w:t>
            </w:r>
          </w:p>
        </w:tc>
      </w:tr>
      <w:tr>
        <w:trPr>
          <w:trHeight w:val="591"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The organisation fosters a culture of critical reflection among staff on the role of career guidance in relation to sustainability, social justice, and systemic change.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The organisation's public communications and client-facing materials present diverse definitions of career success, including social contribution, community engagement, and ecological responsibility.</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The organisation provides supervision or peer support structures where practitioners can process the ethical tensions and emotional challenges that arise in green guidance practice.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4 The organisation collaborates actively with other guidance providers and institutions to advocate for green guidance on the system level.</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bidi w:val="0"/>
              <w:spacing w:lineRule="auto" w:line="240" w:before="0" w:after="0"/>
              <w:jc w:val="start"/>
              <w:rPr>
                <w:sz w:val="16"/>
                <w:szCs w:val="16"/>
              </w:rPr>
            </w:pPr>
            <w:r>
              <w:rPr>
                <w:rFonts w:eastAsia="Times New Roman" w:cs="Times New Roman"/>
                <w:color w:val="000000"/>
                <w:kern w:val="0"/>
                <w:sz w:val="20"/>
                <w:szCs w:val="20"/>
              </w:rPr>
              <w:t>5 The organisation implements and/or advocates for transformative economic practices (democratic practices in the workplace, flexible / reduced working hours, equitable pay, work-life balance, regenerative practices...) as expressions of its commitment to sustainability and human dignity.</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9593" w:type="dxa"/>
            <w:gridSpan w:val="4"/>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3-6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Normal"/>
        <w:rPr>
          <w:sz w:val="20"/>
          <w:szCs w:val="20"/>
          <w:highlight w:val="none"/>
          <w:lang w:val="en-US"/>
        </w:rPr>
      </w:pPr>
      <w:r>
        <w:rPr>
          <w:sz w:val="20"/>
          <w:szCs w:val="20"/>
          <w:lang w:val="en-US"/>
        </w:rPr>
      </w:r>
      <w:r>
        <w:br w:type="page"/>
      </w:r>
    </w:p>
    <w:p>
      <w:pPr>
        <w:pStyle w:val="Normal"/>
        <w:spacing w:before="0" w:after="0"/>
        <w:rPr>
          <w:sz w:val="20"/>
          <w:szCs w:val="20"/>
          <w:lang w:val="en-US" w:bidi="sk-SK"/>
        </w:rPr>
      </w:pPr>
      <w:r>
        <w:rPr>
          <w:sz w:val="20"/>
          <w:szCs w:val="20"/>
          <w:lang w:val="en-US" w:bidi="sk-SK"/>
        </w:rPr>
      </w:r>
    </w:p>
    <w:tbl>
      <w:tblPr>
        <w:tblStyle w:val="780"/>
        <w:tblW w:w="9593"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1"/>
        <w:gridCol w:w="458"/>
        <w:gridCol w:w="448"/>
        <w:gridCol w:w="416"/>
      </w:tblGrid>
      <w:tr>
        <w:trPr>
          <w:trHeight w:val="275" w:hRule="atLeast"/>
        </w:trPr>
        <w:tc>
          <w:tcPr>
            <w:tcW w:w="827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E: Staff development and reflexive practice</w:t>
            </w:r>
          </w:p>
        </w:tc>
        <w:tc>
          <w:tcPr>
            <w:tcW w:w="4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Yes</w:t>
            </w:r>
          </w:p>
        </w:tc>
        <w:tc>
          <w:tcPr>
            <w:tcW w:w="44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No</w:t>
            </w:r>
          </w:p>
        </w:tc>
        <w:tc>
          <w:tcPr>
            <w:tcW w:w="41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N/A</w:t>
            </w:r>
          </w:p>
        </w:tc>
      </w:tr>
      <w:tr>
        <w:trPr>
          <w:trHeight w:val="591"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The organisation provides training for staff on green guidance concepts, frameworks, and approaches.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The organisation provides opportunities for supervision, intervision, and peer exchange related to green guidance practice.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The organisation supports staff in pursuing external professional development related to sustainability and green guidance.</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4 The organisation encourages practitioners to experiment with new green guidance approaches and to share what they learn with colleagues.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bidi w:val="0"/>
              <w:spacing w:lineRule="auto" w:line="240" w:before="0" w:after="0"/>
              <w:jc w:val="start"/>
              <w:rPr>
                <w:sz w:val="16"/>
                <w:szCs w:val="16"/>
              </w:rPr>
            </w:pPr>
            <w:r>
              <w:rPr>
                <w:rFonts w:eastAsia="Times New Roman" w:cs="Times New Roman"/>
                <w:color w:val="000000"/>
                <w:kern w:val="0"/>
                <w:sz w:val="20"/>
                <w:szCs w:val="20"/>
              </w:rPr>
              <w:t>5 The organisation regularly gathers feedback from practitioners and clients on green guidance provision and uses it to improve its services.</w:t>
            </w:r>
          </w:p>
        </w:tc>
        <w:tc>
          <w:tcPr>
            <w:tcW w:w="45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48"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c>
          <w:tcPr>
            <w:tcW w:w="416" w:type="dxa"/>
            <w:tcBorders/>
            <w:vAlign w:val="center"/>
          </w:tcPr>
          <w:p>
            <w:pPr>
              <w:pStyle w:val="Normal"/>
              <w:widowControl/>
              <w:spacing w:lineRule="auto" w:line="240" w:before="0" w:after="0"/>
              <w:jc w:val="center"/>
              <w:rPr/>
            </w:pPr>
            <w:r>
              <w:rPr>
                <w:rFonts w:eastAsia="Times New Roman" w:cs="Times New Roman"/>
                <w:color w:val="000000"/>
                <w:kern w:val="0"/>
                <w:sz w:val="20"/>
                <w:szCs w:val="20"/>
              </w:rPr>
              <w:t>☐</w:t>
            </w:r>
          </w:p>
        </w:tc>
      </w:tr>
      <w:tr>
        <w:trPr>
          <w:trHeight w:val="550" w:hRule="atLeast"/>
        </w:trPr>
        <w:tc>
          <w:tcPr>
            <w:tcW w:w="9593" w:type="dxa"/>
            <w:gridSpan w:val="4"/>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3-6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drawing>
          <wp:inline distT="0" distB="0" distL="0" distR="0">
            <wp:extent cx="2091055" cy="439420"/>
            <wp:effectExtent l="0" t="0" r="0" b="0"/>
            <wp:docPr id="1" name="Picture 1"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lue text on a white background&#10;&#10;Description automatically generated"/>
                    <pic:cNvPicPr>
                      <a:picLocks noChangeAspect="1" noChangeArrowheads="1"/>
                    </pic:cNvPicPr>
                  </pic:nvPicPr>
                  <pic:blipFill>
                    <a:blip r:embed="rId2"/>
                    <a:stretch>
                      <a:fillRect/>
                    </a:stretch>
                  </pic:blipFill>
                  <pic:spPr bwMode="auto">
                    <a:xfrm>
                      <a:off x="0" y="0"/>
                      <a:ext cx="2091055" cy="439420"/>
                    </a:xfrm>
                    <a:prstGeom prst="rect">
                      <a:avLst/>
                    </a:prstGeom>
                    <a:noFill/>
                  </pic:spPr>
                </pic:pic>
              </a:graphicData>
            </a:graphic>
          </wp:inline>
        </w:drawing>
      </w:r>
    </w:p>
    <w:p>
      <w:pPr>
        <w:pStyle w:val="Normal"/>
        <w:rPr>
          <w:sz w:val="20"/>
          <w:szCs w:val="20"/>
          <w:highlight w:val="none"/>
          <w:lang w:val="en-US"/>
        </w:rPr>
      </w:pPr>
      <w:r>
        <w:rPr>
          <w:sz w:val="20"/>
          <w:szCs w:val="20"/>
          <w:lang w:val="en-US"/>
        </w:rPr>
        <w:t>This tool</w:t>
      </w:r>
      <w:r>
        <w:rPr>
          <w:sz w:val="20"/>
          <w:szCs w:val="20"/>
          <w:lang w:val="en-US"/>
        </w:rPr>
        <w:t xml:space="preserve"> is co-funded by the European Union. Views and opinions expressed in this document are those of the author(s) only and do not necessarily reflect those of the European Union, SAAIC or any of the partner organisations. Neither the European Union nor the granting authority can be held responsible for them.</w:t>
      </w:r>
    </w:p>
    <w:sectPr>
      <w:headerReference w:type="even" r:id="rId3"/>
      <w:headerReference w:type="default" r:id="rId4"/>
      <w:headerReference w:type="first" r:id="rId5"/>
      <w:type w:val="nextPage"/>
      <w:pgSz w:w="11906" w:h="16838"/>
      <w:pgMar w:left="1134" w:right="1134" w:gutter="0" w:header="1134" w:top="1191"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Arial">
    <w:charset w:val="01" w:characterSet="utf-8"/>
    <w:family w:val="swiss"/>
    <w:pitch w:val="variable"/>
  </w:font>
  <w:font w:name="OpenSymbol">
    <w:altName w:val="Arial Unicode MS"/>
    <w:charset w:val="01" w:characterSet="utf-8"/>
    <w:family w:val="roman"/>
    <w:pitch w:val="variable"/>
  </w:font>
  <w:font w:name="Liberation Sans">
    <w:altName w:val="Arial"/>
    <w:charset w:val="01" w:characterSet="utf-8"/>
    <w:family w:val="swiss"/>
    <w:pitch w:val="variable"/>
  </w:font>
  <w:font w:name="Noto Sans Devanagari">
    <w:charset w:val="01" w:characterSet="utf-8"/>
    <w:family w:val="roman"/>
    <w:pitch w:val="variable"/>
  </w:font>
  <w:font w:name="Symbol">
    <w:charset w:val="02"/>
    <w:family w:val="auto"/>
    <w:pitch w:val="default"/>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276" w:before="274" w:after="0"/>
      <w:ind w:hanging="0" w:start="0" w:end="0"/>
      <w:rPr/>
    </w:pPr>
    <w:r>
      <w:drawing>
        <wp:anchor distT="0" distB="0" distL="0" distR="0" simplePos="0" relativeHeight="4" behindDoc="1" locked="0" layoutInCell="1" allowOverlap="1">
          <wp:simplePos x="0" y="0"/>
          <wp:positionH relativeFrom="column">
            <wp:posOffset>4986655</wp:posOffset>
          </wp:positionH>
          <wp:positionV relativeFrom="paragraph">
            <wp:posOffset>635</wp:posOffset>
          </wp:positionV>
          <wp:extent cx="1009650" cy="428625"/>
          <wp:effectExtent l="0" t="0" r="0" b="0"/>
          <wp:wrapNone/>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
                  <a:stretch>
                    <a:fillRect/>
                  </a:stretch>
                </pic:blipFill>
                <pic:spPr bwMode="auto">
                  <a:xfrm>
                    <a:off x="0" y="0"/>
                    <a:ext cx="1009650" cy="428625"/>
                  </a:xfrm>
                  <a:prstGeom prst="rect">
                    <a:avLst/>
                  </a:prstGeom>
                  <a:noFill/>
                </pic:spPr>
              </pic:pic>
            </a:graphicData>
          </a:graphic>
        </wp:anchor>
      </w:drawing>
    </w:r>
    <w:r>
      <w:rPr>
        <w:rFonts w:eastAsia="Liberation Sans" w:cs="Liberation Sans" w:ascii="Liberation Sans" w:hAnsi="Liberation Sans"/>
        <w:color w:val="51DC00"/>
        <w:sz w:val="20"/>
      </w:rPr>
      <w:t>www.green-guidance.eu</w:t>
    </w:r>
  </w:p>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276" w:before="274" w:after="0"/>
      <w:ind w:hanging="0" w:start="0" w:end="0"/>
      <w:rPr/>
    </w:pPr>
    <w:r>
      <w:drawing>
        <wp:anchor distT="0" distB="0" distL="0" distR="0" simplePos="0" relativeHeight="4" behindDoc="1" locked="0" layoutInCell="1" allowOverlap="1">
          <wp:simplePos x="0" y="0"/>
          <wp:positionH relativeFrom="column">
            <wp:posOffset>4986655</wp:posOffset>
          </wp:positionH>
          <wp:positionV relativeFrom="paragraph">
            <wp:posOffset>635</wp:posOffset>
          </wp:positionV>
          <wp:extent cx="1009650" cy="428625"/>
          <wp:effectExtent l="0" t="0" r="0" b="0"/>
          <wp:wrapNone/>
          <wp:docPr id="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pic:cNvPicPr>
                    <a:picLocks noChangeAspect="1" noChangeArrowheads="1"/>
                  </pic:cNvPicPr>
                </pic:nvPicPr>
                <pic:blipFill>
                  <a:blip r:embed="rId1"/>
                  <a:stretch>
                    <a:fillRect/>
                  </a:stretch>
                </pic:blipFill>
                <pic:spPr bwMode="auto">
                  <a:xfrm>
                    <a:off x="0" y="0"/>
                    <a:ext cx="1009650" cy="428625"/>
                  </a:xfrm>
                  <a:prstGeom prst="rect">
                    <a:avLst/>
                  </a:prstGeom>
                  <a:noFill/>
                </pic:spPr>
              </pic:pic>
            </a:graphicData>
          </a:graphic>
        </wp:anchor>
      </w:drawing>
    </w:r>
    <w:r>
      <w:rPr>
        <w:rFonts w:eastAsia="Liberation Sans" w:cs="Liberation Sans" w:ascii="Liberation Sans" w:hAnsi="Liberation Sans"/>
        <w:color w:val="51DC00"/>
        <w:sz w:val="20"/>
      </w:rPr>
      <w:t>www.green-guidance.eu</w:t>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1269"/>
        </w:tabs>
        <w:ind w:start="1269" w:hanging="360"/>
      </w:pPr>
      <w:rPr>
        <w:rFonts w:ascii="Symbol" w:hAnsi="Symbol" w:cs="Symbol" w:hint="default"/>
      </w:rPr>
    </w:lvl>
    <w:lvl w:ilvl="1">
      <w:start w:val="1"/>
      <w:numFmt w:val="bullet"/>
      <w:lvlText w:val="◦"/>
      <w:lvlJc w:val="start"/>
      <w:pPr>
        <w:tabs>
          <w:tab w:val="num" w:pos="1629"/>
        </w:tabs>
        <w:ind w:start="1629" w:hanging="360"/>
      </w:pPr>
      <w:rPr>
        <w:rFonts w:ascii="OpenSymbol" w:hAnsi="OpenSymbol" w:cs="OpenSymbol" w:hint="default"/>
      </w:rPr>
    </w:lvl>
    <w:lvl w:ilvl="2">
      <w:start w:val="1"/>
      <w:numFmt w:val="bullet"/>
      <w:lvlText w:val="▪"/>
      <w:lvlJc w:val="start"/>
      <w:pPr>
        <w:tabs>
          <w:tab w:val="num" w:pos="1989"/>
        </w:tabs>
        <w:ind w:start="1989" w:hanging="360"/>
      </w:pPr>
      <w:rPr>
        <w:rFonts w:ascii="OpenSymbol" w:hAnsi="OpenSymbol" w:cs="OpenSymbol" w:hint="default"/>
      </w:rPr>
    </w:lvl>
    <w:lvl w:ilvl="3">
      <w:start w:val="1"/>
      <w:numFmt w:val="bullet"/>
      <w:lvlText w:val=""/>
      <w:lvlJc w:val="start"/>
      <w:pPr>
        <w:tabs>
          <w:tab w:val="num" w:pos="2349"/>
        </w:tabs>
        <w:ind w:start="2349" w:hanging="360"/>
      </w:pPr>
      <w:rPr>
        <w:rFonts w:ascii="Symbol" w:hAnsi="Symbol" w:cs="Symbol" w:hint="default"/>
      </w:rPr>
    </w:lvl>
    <w:lvl w:ilvl="4">
      <w:start w:val="1"/>
      <w:numFmt w:val="bullet"/>
      <w:lvlText w:val="◦"/>
      <w:lvlJc w:val="start"/>
      <w:pPr>
        <w:tabs>
          <w:tab w:val="num" w:pos="2709"/>
        </w:tabs>
        <w:ind w:start="2709" w:hanging="360"/>
      </w:pPr>
      <w:rPr>
        <w:rFonts w:ascii="OpenSymbol" w:hAnsi="OpenSymbol" w:cs="OpenSymbol" w:hint="default"/>
      </w:rPr>
    </w:lvl>
    <w:lvl w:ilvl="5">
      <w:start w:val="1"/>
      <w:numFmt w:val="bullet"/>
      <w:lvlText w:val="▪"/>
      <w:lvlJc w:val="start"/>
      <w:pPr>
        <w:tabs>
          <w:tab w:val="num" w:pos="3069"/>
        </w:tabs>
        <w:ind w:start="3069" w:hanging="360"/>
      </w:pPr>
      <w:rPr>
        <w:rFonts w:ascii="OpenSymbol" w:hAnsi="OpenSymbol" w:cs="OpenSymbol" w:hint="default"/>
      </w:rPr>
    </w:lvl>
    <w:lvl w:ilvl="6">
      <w:start w:val="1"/>
      <w:numFmt w:val="bullet"/>
      <w:lvlText w:val=""/>
      <w:lvlJc w:val="start"/>
      <w:pPr>
        <w:tabs>
          <w:tab w:val="num" w:pos="3429"/>
        </w:tabs>
        <w:ind w:start="3429" w:hanging="360"/>
      </w:pPr>
      <w:rPr>
        <w:rFonts w:ascii="Symbol" w:hAnsi="Symbol" w:cs="Symbol" w:hint="default"/>
      </w:rPr>
    </w:lvl>
    <w:lvl w:ilvl="7">
      <w:start w:val="1"/>
      <w:numFmt w:val="bullet"/>
      <w:lvlText w:val="◦"/>
      <w:lvlJc w:val="start"/>
      <w:pPr>
        <w:tabs>
          <w:tab w:val="num" w:pos="3789"/>
        </w:tabs>
        <w:ind w:start="3789" w:hanging="360"/>
      </w:pPr>
      <w:rPr>
        <w:rFonts w:ascii="OpenSymbol" w:hAnsi="OpenSymbol" w:cs="OpenSymbol" w:hint="default"/>
      </w:rPr>
    </w:lvl>
    <w:lvl w:ilvl="8">
      <w:start w:val="1"/>
      <w:numFmt w:val="bullet"/>
      <w:lvlText w:val="▪"/>
      <w:lvlJc w:val="start"/>
      <w:pPr>
        <w:tabs>
          <w:tab w:val="num" w:pos="4149"/>
        </w:tabs>
        <w:ind w:start="4149" w:hanging="360"/>
      </w:pPr>
      <w:rPr>
        <w:rFonts w:ascii="OpenSymbol" w:hAnsi="OpenSymbol" w:cs="OpenSymbol"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65"/>
  <w:defaultTabStop w:val="709"/>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SC" w:cs="Noto Sans"/>
        <w:lang w:val="en-GB"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start"/>
    </w:pPr>
    <w:rPr>
      <w:rFonts w:ascii="Times New Roman" w:hAnsi="Times New Roman" w:eastAsia="Noto Serif SC" w:cs="Noto Sans"/>
      <w:color w:val="auto"/>
      <w:kern w:val="0"/>
      <w:sz w:val="20"/>
      <w:szCs w:val="20"/>
      <w:lang w:val="en-GB" w:eastAsia="zh-CN" w:bidi="hi-IN"/>
    </w:rPr>
  </w:style>
  <w:style w:type="paragraph" w:styleId="Heading1" w:customStyle="1">
    <w:name w:val="heading 1"/>
    <w:basedOn w:val="Ttulo"/>
    <w:qFormat/>
    <w:pPr>
      <w:numPr>
        <w:ilvl w:val="0"/>
        <w:numId w:val="0"/>
      </w:numPr>
      <w:spacing w:before="240" w:after="120"/>
      <w:outlineLvl w:val="1"/>
    </w:pPr>
    <w:rPr>
      <w:b/>
      <w:bCs/>
      <w:sz w:val="36"/>
      <w:szCs w:val="36"/>
    </w:rPr>
  </w:style>
  <w:style w:type="paragraph" w:styleId="Heading2" w:customStyle="1">
    <w:name w:val="heading 2"/>
    <w:basedOn w:val="Ttulo"/>
    <w:qFormat/>
    <w:pPr>
      <w:numPr>
        <w:ilvl w:val="0"/>
        <w:numId w:val="0"/>
      </w:numPr>
      <w:spacing w:before="200" w:after="120"/>
      <w:outlineLvl w:val="2"/>
    </w:pPr>
    <w:rPr>
      <w:b/>
      <w:bCs/>
      <w:sz w:val="32"/>
      <w:szCs w:val="32"/>
    </w:rPr>
  </w:style>
  <w:style w:type="paragraph" w:styleId="Heading3">
    <w:name w:val="heading 3"/>
    <w:basedOn w:val="Normal"/>
    <w:uiPriority w:val="9"/>
    <w:unhideWhenUsed/>
    <w:qFormat/>
    <w:pPr>
      <w:keepNext w:val="true"/>
      <w:keepLines/>
      <w:spacing w:before="160" w:after="80"/>
      <w:outlineLvl w:val="2"/>
    </w:pPr>
    <w:rPr>
      <w:rFonts w:ascii="Arial" w:hAnsi="Arial" w:eastAsia="Arial" w:cs="Arial"/>
      <w:color w:themeColor="accent1" w:themeShade="bf" w:val="0F4761"/>
      <w:sz w:val="28"/>
      <w:szCs w:val="28"/>
    </w:rPr>
  </w:style>
  <w:style w:type="paragraph" w:styleId="Heading4">
    <w:name w:val="heading 4"/>
    <w:basedOn w:val="Normal"/>
    <w:uiPriority w:val="9"/>
    <w:unhideWhenUsed/>
    <w:qFormat/>
    <w:pPr>
      <w:keepNext w:val="true"/>
      <w:keepLines/>
      <w:spacing w:before="80" w:after="40"/>
      <w:outlineLvl w:val="3"/>
    </w:pPr>
    <w:rPr>
      <w:rFonts w:ascii="Arial" w:hAnsi="Arial" w:eastAsia="Arial" w:cs="Arial"/>
      <w:i/>
      <w:iCs/>
      <w:color w:themeColor="accent1" w:themeShade="bf" w:val="0F4761"/>
    </w:rPr>
  </w:style>
  <w:style w:type="paragraph" w:styleId="Heading5">
    <w:name w:val="heading 5"/>
    <w:basedOn w:val="Normal"/>
    <w:uiPriority w:val="9"/>
    <w:unhideWhenUsed/>
    <w:qFormat/>
    <w:pPr>
      <w:keepNext w:val="true"/>
      <w:keepLines/>
      <w:spacing w:before="80" w:after="40"/>
      <w:outlineLvl w:val="4"/>
    </w:pPr>
    <w:rPr>
      <w:rFonts w:ascii="Arial" w:hAnsi="Arial" w:eastAsia="Arial" w:cs="Arial"/>
      <w:color w:themeColor="accent1" w:themeShade="bf" w:val="0F4761"/>
    </w:rPr>
  </w:style>
  <w:style w:type="paragraph" w:styleId="Heading6">
    <w:name w:val="heading 6"/>
    <w:basedOn w:val="Normal"/>
    <w:uiPriority w:val="9"/>
    <w:unhideWhenUsed/>
    <w:qFormat/>
    <w:pPr>
      <w:keepNext w:val="true"/>
      <w:keepLines/>
      <w:spacing w:before="40" w:after="0"/>
      <w:outlineLvl w:val="5"/>
    </w:pPr>
    <w:rPr>
      <w:rFonts w:ascii="Arial" w:hAnsi="Arial" w:eastAsia="Arial" w:cs="Arial"/>
      <w:i/>
      <w:iCs/>
      <w:color w:themeColor="text1" w:themeTint="a6" w:val="595959"/>
    </w:rPr>
  </w:style>
  <w:style w:type="paragraph" w:styleId="Heading7">
    <w:name w:val="heading 7"/>
    <w:basedOn w:val="Normal"/>
    <w:uiPriority w:val="9"/>
    <w:unhideWhenUsed/>
    <w:qFormat/>
    <w:pPr>
      <w:keepNext w:val="true"/>
      <w:keepLines/>
      <w:spacing w:before="40" w:after="0"/>
      <w:outlineLvl w:val="6"/>
    </w:pPr>
    <w:rPr>
      <w:rFonts w:ascii="Arial" w:hAnsi="Arial" w:eastAsia="Arial" w:cs="Arial"/>
      <w:color w:themeColor="text1" w:themeTint="a6" w:val="595959"/>
    </w:rPr>
  </w:style>
  <w:style w:type="paragraph" w:styleId="Heading8">
    <w:name w:val="heading 8"/>
    <w:basedOn w:val="Normal"/>
    <w:uiPriority w:val="9"/>
    <w:unhideWhenUsed/>
    <w:qFormat/>
    <w:pPr>
      <w:keepNext w:val="true"/>
      <w:keepLines/>
      <w:spacing w:before="0" w:after="0"/>
      <w:outlineLvl w:val="7"/>
    </w:pPr>
    <w:rPr>
      <w:rFonts w:ascii="Arial" w:hAnsi="Arial" w:eastAsia="Arial" w:cs="Arial"/>
      <w:i/>
      <w:iCs/>
      <w:color w:themeColor="text1" w:themeTint="d8" w:val="272727"/>
    </w:rPr>
  </w:style>
  <w:style w:type="paragraph" w:styleId="Heading9">
    <w:name w:val="heading 9"/>
    <w:basedOn w:val="Normal"/>
    <w:uiPriority w:val="9"/>
    <w:unhideWhenUsed/>
    <w:qFormat/>
    <w:pPr>
      <w:keepNext w:val="true"/>
      <w:keepLines/>
      <w:spacing w:before="0" w:after="0"/>
      <w:outlineLvl w:val="8"/>
    </w:pPr>
    <w:rPr>
      <w:rFonts w:ascii="Arial" w:hAnsi="Arial" w:eastAsia="Arial" w:cs="Arial"/>
      <w:i/>
      <w:iCs/>
      <w:color w:themeColor="text1" w:themeTint="d8" w:val="272727"/>
    </w:rPr>
  </w:style>
  <w:style w:type="character" w:styleId="DefaultParagraphFont" w:default="1">
    <w:name w:val="Default Paragraph Font"/>
    <w:uiPriority w:val="1"/>
    <w:semiHidden/>
    <w:unhideWhenUsed/>
    <w:qFormat/>
    <w:rPr/>
  </w:style>
  <w:style w:type="character" w:styleId="Heading1Char">
    <w:name w:val="Heading 1 Char"/>
    <w:basedOn w:val="DefaultParagraphFont"/>
    <w:uiPriority w:val="9"/>
    <w:qFormat/>
    <w:rPr>
      <w:rFonts w:ascii="Arial" w:hAnsi="Arial" w:eastAsia="Arial" w:cs="Arial"/>
      <w:color w:themeColor="accent1" w:themeShade="bf" w:val="0F4761"/>
      <w:sz w:val="40"/>
      <w:szCs w:val="40"/>
    </w:rPr>
  </w:style>
  <w:style w:type="character" w:styleId="Heading2Char">
    <w:name w:val="Heading 2 Char"/>
    <w:basedOn w:val="DefaultParagraphFont"/>
    <w:uiPriority w:val="9"/>
    <w:qFormat/>
    <w:rPr>
      <w:rFonts w:ascii="Arial" w:hAnsi="Arial" w:eastAsia="Arial" w:cs="Arial"/>
      <w:color w:themeColor="accent1" w:themeShade="bf" w:val="0F4761"/>
      <w:sz w:val="32"/>
      <w:szCs w:val="32"/>
    </w:rPr>
  </w:style>
  <w:style w:type="character" w:styleId="Heading3Char">
    <w:name w:val="Heading 3 Char"/>
    <w:basedOn w:val="DefaultParagraphFont"/>
    <w:uiPriority w:val="9"/>
    <w:qFormat/>
    <w:rPr>
      <w:rFonts w:ascii="Arial" w:hAnsi="Arial" w:eastAsia="Arial" w:cs="Arial"/>
      <w:color w:themeColor="accent1" w:themeShade="bf" w:val="0F4761"/>
      <w:sz w:val="28"/>
      <w:szCs w:val="28"/>
    </w:rPr>
  </w:style>
  <w:style w:type="character" w:styleId="Heading4Char">
    <w:name w:val="Heading 4 Char"/>
    <w:basedOn w:val="DefaultParagraphFont"/>
    <w:uiPriority w:val="9"/>
    <w:qFormat/>
    <w:rPr>
      <w:rFonts w:ascii="Arial" w:hAnsi="Arial" w:eastAsia="Arial" w:cs="Arial"/>
      <w:i/>
      <w:iCs/>
      <w:color w:themeColor="accent1" w:themeShade="bf" w:val="0F4761"/>
    </w:rPr>
  </w:style>
  <w:style w:type="character" w:styleId="Heading5Char">
    <w:name w:val="Heading 5 Char"/>
    <w:basedOn w:val="DefaultParagraphFont"/>
    <w:uiPriority w:val="9"/>
    <w:qFormat/>
    <w:rPr>
      <w:rFonts w:ascii="Arial" w:hAnsi="Arial" w:eastAsia="Arial" w:cs="Arial"/>
      <w:color w:themeColor="accent1" w:themeShade="bf" w:val="0F4761"/>
    </w:rPr>
  </w:style>
  <w:style w:type="character" w:styleId="Heading6Char">
    <w:name w:val="Heading 6 Char"/>
    <w:basedOn w:val="DefaultParagraphFont"/>
    <w:uiPriority w:val="9"/>
    <w:qFormat/>
    <w:rPr>
      <w:rFonts w:ascii="Arial" w:hAnsi="Arial" w:eastAsia="Arial" w:cs="Arial"/>
      <w:i/>
      <w:iCs/>
      <w:color w:themeColor="text1" w:themeTint="a6" w:val="595959"/>
    </w:rPr>
  </w:style>
  <w:style w:type="character" w:styleId="Heading7Char">
    <w:name w:val="Heading 7 Char"/>
    <w:basedOn w:val="DefaultParagraphFont"/>
    <w:uiPriority w:val="9"/>
    <w:qFormat/>
    <w:rPr>
      <w:rFonts w:ascii="Arial" w:hAnsi="Arial" w:eastAsia="Arial" w:cs="Arial"/>
      <w:color w:themeColor="text1" w:themeTint="a6" w:val="595959"/>
    </w:rPr>
  </w:style>
  <w:style w:type="character" w:styleId="Heading8Char">
    <w:name w:val="Heading 8 Char"/>
    <w:basedOn w:val="DefaultParagraphFont"/>
    <w:uiPriority w:val="9"/>
    <w:qFormat/>
    <w:rPr>
      <w:rFonts w:ascii="Arial" w:hAnsi="Arial" w:eastAsia="Arial" w:cs="Arial"/>
      <w:i/>
      <w:iCs/>
      <w:color w:themeColor="text1" w:themeTint="d8" w:val="272727"/>
    </w:rPr>
  </w:style>
  <w:style w:type="character" w:styleId="Heading9Char">
    <w:name w:val="Heading 9 Char"/>
    <w:basedOn w:val="DefaultParagraphFont"/>
    <w:uiPriority w:val="9"/>
    <w:qFormat/>
    <w:rPr>
      <w:rFonts w:ascii="Arial" w:hAnsi="Arial" w:eastAsia="Arial" w:cs="Arial"/>
      <w:i/>
      <w:iCs/>
      <w:color w:themeColor="text1" w:themeTint="d8" w:val="272727"/>
    </w:rPr>
  </w:style>
  <w:style w:type="character" w:styleId="TitleChar">
    <w:name w:val="Title Char"/>
    <w:basedOn w:val="DefaultParagraphFont"/>
    <w:uiPriority w:val="10"/>
    <w:qFormat/>
    <w:rPr>
      <w:rFonts w:ascii="Arial" w:hAnsi="Arial" w:eastAsia="Arial" w:cs="Arial"/>
      <w:spacing w:val="-10"/>
      <w:sz w:val="56"/>
      <w:szCs w:val="56"/>
    </w:rPr>
  </w:style>
  <w:style w:type="character" w:styleId="SubtitleChar">
    <w:name w:val="Subtitle Char"/>
    <w:basedOn w:val="DefaultParagraphFont"/>
    <w:uiPriority w:val="11"/>
    <w:qFormat/>
    <w:rPr>
      <w:color w:themeColor="text1" w:themeTint="a6" w:val="595959"/>
      <w:spacing w:val="15"/>
      <w:sz w:val="28"/>
      <w:szCs w:val="28"/>
    </w:rPr>
  </w:style>
  <w:style w:type="character" w:styleId="QuoteChar">
    <w:name w:val="Quote Char"/>
    <w:basedOn w:val="DefaultParagraphFont"/>
    <w:uiPriority w:val="29"/>
    <w:qFormat/>
    <w:rPr>
      <w:i/>
      <w:iCs/>
      <w:color w:themeColor="text1" w:themeTint="bf" w:val="404040"/>
    </w:rPr>
  </w:style>
  <w:style w:type="character" w:styleId="IntenseEmphasis">
    <w:name w:val="Intense Emphasis"/>
    <w:basedOn w:val="DefaultParagraphFont"/>
    <w:uiPriority w:val="21"/>
    <w:qFormat/>
    <w:rPr>
      <w:i/>
      <w:iCs/>
      <w:color w:themeColor="accent1" w:themeShade="bf" w:val="0F4761"/>
    </w:rPr>
  </w:style>
  <w:style w:type="character" w:styleId="IntenseQuoteChar">
    <w:name w:val="Intense Quote Char"/>
    <w:basedOn w:val="DefaultParagraphFont"/>
    <w:uiPriority w:val="30"/>
    <w:qFormat/>
    <w:rPr>
      <w:i/>
      <w:iCs/>
      <w:color w:themeColor="accent1" w:themeShade="bf" w:val="0F4761"/>
    </w:rPr>
  </w:style>
  <w:style w:type="character" w:styleId="IntenseReference">
    <w:name w:val="Intense Reference"/>
    <w:basedOn w:val="DefaultParagraphFont"/>
    <w:uiPriority w:val="32"/>
    <w:qFormat/>
    <w:rPr>
      <w:b/>
      <w:bCs/>
      <w:smallCaps/>
      <w:color w:themeColor="accent1" w:themeShade="bf" w:val="0F4761"/>
      <w:spacing w:val="5"/>
    </w:rPr>
  </w:style>
  <w:style w:type="character" w:styleId="SubtleEmphasis">
    <w:name w:val="Subtle Emphasis"/>
    <w:basedOn w:val="DefaultParagraphFont"/>
    <w:uiPriority w:val="19"/>
    <w:qFormat/>
    <w:rPr>
      <w:i/>
      <w:iCs/>
      <w:color w:themeColor="text1" w:themeTint="bf" w:val="404040"/>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themeColor="text1" w:themeTint="a5" w:val="5A5A5A"/>
    </w:rPr>
  </w:style>
  <w:style w:type="character" w:styleId="BookTitle">
    <w:name w:val="Book Title"/>
    <w:basedOn w:val="DefaultParagraphFont"/>
    <w:uiPriority w:val="33"/>
    <w:qFormat/>
    <w:rPr>
      <w:b/>
      <w:bCs/>
      <w:i/>
      <w:iCs/>
      <w:spacing w:val="5"/>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FootnoteTextChar">
    <w:name w:val="Footnote Text Char"/>
    <w:basedOn w:val="DefaultParagraphFont"/>
    <w:uiPriority w:val="99"/>
    <w:semiHidden/>
    <w:qFormat/>
    <w:rPr>
      <w:sz w:val="20"/>
      <w:szCs w:val="20"/>
    </w:rPr>
  </w:style>
  <w:style w:type="character" w:styleId="FootnoteCharactersuser">
    <w:name w:val="Footnote Characters (user)"/>
    <w:qFormat/>
    <w:rPr>
      <w:vertAlign w:val="superscript"/>
    </w:rPr>
  </w:style>
  <w:style w:type="character" w:styleId="Caracteresdanotaderodap">
    <w:name w:val="Caracteres da nota de rodapé"/>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TextChar">
    <w:name w:val="Endnote Text Char"/>
    <w:basedOn w:val="DefaultParagraphFont"/>
    <w:uiPriority w:val="99"/>
    <w:semiHidden/>
    <w:qFormat/>
    <w:rPr>
      <w:sz w:val="20"/>
      <w:szCs w:val="20"/>
    </w:rPr>
  </w:style>
  <w:style w:type="character" w:styleId="EndnoteCharactersuser">
    <w:name w:val="Endnote Characters (user)"/>
    <w:qFormat/>
    <w:rPr>
      <w:vertAlign w:val="superscript"/>
    </w:rPr>
  </w:style>
  <w:style w:type="character" w:styleId="Caracteresdanotafinal">
    <w:name w:val="Caracteres da nota final"/>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Pr>
      <w:color w:themeColor="hyperlink" w:val="0563C1"/>
      <w:u w:val="single"/>
    </w:rPr>
  </w:style>
  <w:style w:type="character" w:styleId="FollowedHyperlink">
    <w:name w:val="FollowedHyperlink"/>
    <w:basedOn w:val="DefaultParagraphFont"/>
    <w:uiPriority w:val="99"/>
    <w:semiHidden/>
    <w:unhideWhenUsed/>
    <w:rPr>
      <w:color w:themeColor="followedHyperlink" w:val="954F72"/>
      <w:u w:val="single"/>
    </w:rPr>
  </w:style>
  <w:style w:type="character" w:styleId="PlaceholderText">
    <w:name w:val="Placeholder Text"/>
    <w:basedOn w:val="DefaultParagraphFont"/>
    <w:uiPriority w:val="99"/>
    <w:semiHidden/>
    <w:qFormat/>
    <w:rPr>
      <w:color w:val="666666"/>
    </w:rPr>
  </w:style>
  <w:style w:type="character" w:styleId="StrongEmphasis" w:customStyle="1">
    <w:name w:val="Strong Emphasis"/>
    <w:qFormat/>
    <w:rPr>
      <w:b/>
      <w:bCs/>
    </w:rPr>
  </w:style>
  <w:style w:type="character" w:styleId="Bulletsuser" w:customStyle="1">
    <w:name w:val="Bullets (user)"/>
    <w:qFormat/>
    <w:rPr>
      <w:rFonts w:ascii="OpenSymbol" w:hAnsi="OpenSymbol" w:eastAsia="OpenSymbol" w:cs="OpenSymbol"/>
    </w:rPr>
  </w:style>
  <w:style w:type="character" w:styleId="Smbolosnumricos" w:customStyle="1">
    <w:name w:val="Símbolos numéricos"/>
    <w:qFormat/>
    <w:rPr/>
  </w:style>
  <w:style w:type="character" w:styleId="Emphasis" w:customStyle="1">
    <w:name w:val="Emphasis"/>
    <w:qFormat/>
    <w:rPr>
      <w:i/>
      <w:iCs/>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customStyle="1">
    <w:name w:val="List"/>
    <w:basedOn w:val="Textbody"/>
    <w:pPr/>
    <w:rPr>
      <w:rFonts w:cs="Noto Sans Devanagari"/>
    </w:rPr>
  </w:style>
  <w:style w:type="paragraph" w:styleId="Caption" w:customStyle="1">
    <w:name w:val="caption"/>
    <w:basedOn w:val="Standard"/>
    <w:qFormat/>
    <w:pPr>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tulo" w:customStyle="1">
    <w:name w:val="Título"/>
    <w:basedOn w:val="Standard"/>
    <w:next w:val="BodyText"/>
    <w:qFormat/>
    <w:pPr>
      <w:keepNext w:val="true"/>
      <w:spacing w:before="240" w:after="120"/>
    </w:pPr>
    <w:rPr>
      <w:rFonts w:ascii="Liberation Sans" w:hAnsi="Liberation Sans" w:eastAsia="Noto Sans CJK SC" w:cs="Noto Sans Devanagari"/>
      <w:sz w:val="28"/>
      <w:szCs w:val="28"/>
    </w:rPr>
  </w:style>
  <w:style w:type="paragraph" w:styleId="ndice" w:customStyle="1">
    <w:name w:val="Índice"/>
    <w:basedOn w:val="Standard"/>
    <w:qFormat/>
    <w:pPr/>
    <w:rPr>
      <w:rFonts w:cs="Noto Sans Devanagari"/>
    </w:rPr>
  </w:style>
  <w:style w:type="paragraph" w:styleId="Title">
    <w:name w:val="Title"/>
    <w:basedOn w:val="Normal"/>
    <w:uiPriority w:val="10"/>
    <w:qFormat/>
    <w:pPr>
      <w:spacing w:lineRule="auto" w:line="240" w:before="0" w:after="80"/>
      <w:contextualSpacing/>
    </w:pPr>
    <w:rPr>
      <w:rFonts w:ascii="Arial" w:hAnsi="Arial" w:eastAsia="Arial" w:cs="Arial"/>
      <w:spacing w:val="-10"/>
      <w:sz w:val="56"/>
      <w:szCs w:val="56"/>
    </w:rPr>
  </w:style>
  <w:style w:type="paragraph" w:styleId="Subtitle">
    <w:name w:val="Subtitle"/>
    <w:basedOn w:val="Normal"/>
    <w:uiPriority w:val="11"/>
    <w:qFormat/>
    <w:pPr/>
    <w:rPr>
      <w:color w:themeColor="text1" w:themeTint="a6" w:val="595959"/>
      <w:spacing w:val="15"/>
      <w:sz w:val="28"/>
      <w:szCs w:val="28"/>
    </w:rPr>
  </w:style>
  <w:style w:type="paragraph" w:styleId="Quote">
    <w:name w:val="Quote"/>
    <w:basedOn w:val="Normal"/>
    <w:uiPriority w:val="29"/>
    <w:qFormat/>
    <w:pPr>
      <w:spacing w:before="160" w:after="0"/>
      <w:jc w:val="center"/>
    </w:pPr>
    <w:rPr>
      <w:i/>
      <w:iCs/>
      <w:color w:themeColor="text1" w:themeTint="bf" w:val="404040"/>
    </w:rPr>
  </w:style>
  <w:style w:type="paragraph" w:styleId="ListParagraph">
    <w:name w:val="List Paragraph"/>
    <w:basedOn w:val="Normal"/>
    <w:uiPriority w:val="34"/>
    <w:qFormat/>
    <w:pPr>
      <w:spacing w:before="0" w:after="0"/>
      <w:ind w:start="720"/>
      <w:contextualSpacing/>
    </w:pPr>
    <w:rPr/>
  </w:style>
  <w:style w:type="paragraph" w:styleId="IntenseQuote">
    <w:name w:val="Intense Quote"/>
    <w:basedOn w:val="Normal"/>
    <w:uiPriority w:val="30"/>
    <w:qFormat/>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paragraph" w:styleId="NoSpacing">
    <w:name w:val="No Spacing"/>
    <w:basedOn w:val="Normal"/>
    <w:uiPriority w:val="1"/>
    <w:qFormat/>
    <w:pPr>
      <w:spacing w:lineRule="auto" w:line="240" w:before="0" w:after="0"/>
    </w:pPr>
    <w:rPr/>
  </w:style>
  <w:style w:type="paragraph" w:styleId="HeaderandFooter">
    <w:name w:val="Header and Footer"/>
    <w:basedOn w:val="Normal"/>
    <w:qFormat/>
    <w:pPr/>
    <w:rPr/>
  </w:style>
  <w:style w:type="paragraph" w:styleId="Header">
    <w:name w:val="header"/>
    <w:basedOn w:val="Normal"/>
    <w:uiPriority w:val="99"/>
    <w:unhideWhenUsed/>
    <w:pPr>
      <w:tabs>
        <w:tab w:val="clear" w:pos="709"/>
        <w:tab w:val="center" w:pos="4844" w:leader="none"/>
        <w:tab w:val="right" w:pos="9689" w:leader="none"/>
      </w:tabs>
      <w:spacing w:lineRule="auto" w:line="240" w:before="0" w:after="0"/>
    </w:pPr>
    <w:rPr/>
  </w:style>
  <w:style w:type="paragraph" w:styleId="Footer">
    <w:name w:val="footer"/>
    <w:basedOn w:val="Normal"/>
    <w:uiPriority w:val="99"/>
    <w:unhideWhenUsed/>
    <w:pPr>
      <w:tabs>
        <w:tab w:val="clear" w:pos="709"/>
        <w:tab w:val="center" w:pos="4844" w:leader="none"/>
        <w:tab w:val="right" w:pos="9689" w:leader="none"/>
      </w:tabs>
      <w:spacing w:lineRule="auto" w:line="240" w:before="0" w:after="0"/>
    </w:pPr>
    <w:rPr/>
  </w:style>
  <w:style w:type="paragraph" w:styleId="FootnoteText">
    <w:name w:val="footnote text"/>
    <w:basedOn w:val="Normal"/>
    <w:uiPriority w:val="99"/>
    <w:semiHidden/>
    <w:unhideWhenUsed/>
    <w:pPr>
      <w:spacing w:lineRule="auto" w:line="240" w:before="0" w:after="0"/>
    </w:pPr>
    <w:rPr>
      <w:sz w:val="20"/>
      <w:szCs w:val="20"/>
    </w:rPr>
  </w:style>
  <w:style w:type="paragraph" w:styleId="EndnoteText">
    <w:name w:val="endnote text"/>
    <w:basedOn w:val="Normal"/>
    <w:uiPriority w:val="99"/>
    <w:semiHidden/>
    <w:unhideWhenUsed/>
    <w:pPr>
      <w:spacing w:lineRule="auto" w:line="240" w:before="0" w:after="0"/>
    </w:pPr>
    <w:rPr>
      <w:sz w:val="20"/>
      <w:szCs w:val="20"/>
    </w:rPr>
  </w:style>
  <w:style w:type="paragraph" w:styleId="TOC1">
    <w:name w:val="toc 1"/>
    <w:basedOn w:val="Normal"/>
    <w:uiPriority w:val="39"/>
    <w:unhideWhenUsed/>
    <w:pPr>
      <w:spacing w:before="0" w:after="100"/>
    </w:pPr>
    <w:rPr/>
  </w:style>
  <w:style w:type="paragraph" w:styleId="TOC2">
    <w:name w:val="toc 2"/>
    <w:basedOn w:val="Normal"/>
    <w:uiPriority w:val="39"/>
    <w:unhideWhenUsed/>
    <w:pPr>
      <w:spacing w:before="0" w:after="100"/>
      <w:ind w:start="220"/>
    </w:pPr>
    <w:rPr/>
  </w:style>
  <w:style w:type="paragraph" w:styleId="TOC3">
    <w:name w:val="toc 3"/>
    <w:basedOn w:val="Normal"/>
    <w:uiPriority w:val="39"/>
    <w:unhideWhenUsed/>
    <w:pPr>
      <w:spacing w:before="0" w:after="100"/>
      <w:ind w:start="440"/>
    </w:pPr>
    <w:rPr/>
  </w:style>
  <w:style w:type="paragraph" w:styleId="TOC4">
    <w:name w:val="toc 4"/>
    <w:basedOn w:val="Normal"/>
    <w:uiPriority w:val="39"/>
    <w:unhideWhenUsed/>
    <w:pPr>
      <w:spacing w:before="0" w:after="100"/>
      <w:ind w:start="660"/>
    </w:pPr>
    <w:rPr/>
  </w:style>
  <w:style w:type="paragraph" w:styleId="TOC5">
    <w:name w:val="toc 5"/>
    <w:basedOn w:val="Normal"/>
    <w:uiPriority w:val="39"/>
    <w:unhideWhenUsed/>
    <w:pPr>
      <w:spacing w:before="0" w:after="100"/>
      <w:ind w:start="880"/>
    </w:pPr>
    <w:rPr/>
  </w:style>
  <w:style w:type="paragraph" w:styleId="TOC6">
    <w:name w:val="toc 6"/>
    <w:basedOn w:val="Normal"/>
    <w:uiPriority w:val="39"/>
    <w:unhideWhenUsed/>
    <w:pPr>
      <w:spacing w:before="0" w:after="100"/>
      <w:ind w:start="1100"/>
    </w:pPr>
    <w:rPr/>
  </w:style>
  <w:style w:type="paragraph" w:styleId="TOC7">
    <w:name w:val="toc 7"/>
    <w:basedOn w:val="Normal"/>
    <w:uiPriority w:val="39"/>
    <w:unhideWhenUsed/>
    <w:pPr>
      <w:spacing w:before="0" w:after="100"/>
      <w:ind w:start="1320"/>
    </w:pPr>
    <w:rPr/>
  </w:style>
  <w:style w:type="paragraph" w:styleId="TOC8">
    <w:name w:val="toc 8"/>
    <w:basedOn w:val="Normal"/>
    <w:uiPriority w:val="39"/>
    <w:unhideWhenUsed/>
    <w:pPr>
      <w:spacing w:before="0" w:after="100"/>
      <w:ind w:start="1540"/>
    </w:pPr>
    <w:rPr/>
  </w:style>
  <w:style w:type="paragraph" w:styleId="TOC9">
    <w:name w:val="toc 9"/>
    <w:basedOn w:val="Normal"/>
    <w:uiPriority w:val="39"/>
    <w:unhideWhenUsed/>
    <w:pPr>
      <w:spacing w:before="0" w:after="100"/>
      <w:ind w:start="1760"/>
    </w:pPr>
    <w:rPr/>
  </w:style>
  <w:style w:type="paragraph" w:styleId="IndexHeading">
    <w:name w:val="index heading"/>
    <w:basedOn w:val="Ttulo"/>
    <w:pPr/>
    <w:rPr/>
  </w:style>
  <w:style w:type="paragraph" w:styleId="TOCHeading">
    <w:name w:val="TOC Heading"/>
    <w:uiPriority w:val="39"/>
    <w:unhideWhenUsed/>
    <w:qFormat/>
    <w:pPr>
      <w:widowControl/>
      <w:suppressAutoHyphens w:val="true"/>
      <w:bidi w:val="0"/>
      <w:spacing w:before="0" w:after="0"/>
      <w:jc w:val="start"/>
    </w:pPr>
    <w:rPr>
      <w:rFonts w:ascii="Times New Roman" w:hAnsi="Times New Roman" w:eastAsia="Noto Serif SC" w:cs="Noto Sans"/>
      <w:color w:val="auto"/>
      <w:kern w:val="0"/>
      <w:sz w:val="20"/>
      <w:szCs w:val="20"/>
      <w:lang w:val="en-GB" w:eastAsia="zh-CN" w:bidi="hi-IN"/>
    </w:rPr>
  </w:style>
  <w:style w:type="paragraph" w:styleId="TableofFigures">
    <w:name w:val="table of figures"/>
    <w:basedOn w:val="Normal"/>
    <w:uiPriority w:val="99"/>
    <w:unhideWhenUsed/>
    <w:pPr>
      <w:spacing w:before="0" w:afterAutospacing="0" w:after="0"/>
    </w:pPr>
    <w:rPr/>
  </w:style>
  <w:style w:type="paragraph" w:styleId="DStyleparagraph">
    <w:name w:val="DStyle_paragraph"/>
    <w:qFormat/>
    <w:pPr>
      <w:widowControl/>
      <w:suppressAutoHyphens w:val="true"/>
      <w:bidi w:val="0"/>
      <w:spacing w:before="0" w:after="0"/>
      <w:jc w:val="start"/>
    </w:pPr>
    <w:rPr>
      <w:rFonts w:ascii="Liberation Serif" w:hAnsi="Liberation Serif" w:eastAsia="Noto Serif CJK SC" w:cs="Noto Sans Devanagari"/>
      <w:color w:val="auto"/>
      <w:kern w:val="0"/>
      <w:sz w:val="24"/>
      <w:szCs w:val="24"/>
      <w:lang w:val="fr-FR" w:eastAsia="zh-CN" w:bidi="hi-IN"/>
    </w:rPr>
  </w:style>
  <w:style w:type="paragraph" w:styleId="Standard" w:customStyle="1">
    <w:name w:val="Standard"/>
    <w:basedOn w:val="DStyleparagraph"/>
    <w:qFormat/>
    <w:pPr/>
    <w:rPr/>
  </w:style>
  <w:style w:type="paragraph" w:styleId="Textbody" w:customStyle="1">
    <w:name w:val="Text body"/>
    <w:basedOn w:val="Standard"/>
    <w:qFormat/>
    <w:pPr>
      <w:spacing w:lineRule="auto" w:line="276" w:before="0" w:after="140"/>
    </w:pPr>
    <w:rPr/>
  </w:style>
  <w:style w:type="paragraph" w:styleId="Contedodatabela" w:customStyle="1">
    <w:name w:val="Conteúdo da tabela"/>
    <w:basedOn w:val="Standard"/>
    <w:qFormat/>
    <w:pPr>
      <w:widowControl w:val="false"/>
    </w:pPr>
    <w:rPr/>
  </w:style>
  <w:style w:type="paragraph" w:styleId="Ttulodatabela" w:customStyle="1">
    <w:name w:val="Título da tabela"/>
    <w:basedOn w:val="Contedodatabela"/>
    <w:qFormat/>
    <w:pPr>
      <w:jc w:val="center"/>
    </w:pPr>
    <w:rPr>
      <w:b/>
      <w:bCs/>
    </w:rPr>
  </w:style>
  <w:style w:type="paragraph" w:styleId="DefaultDrawingStyle" w:customStyle="1">
    <w:name w:val="Default Drawing Style"/>
    <w:basedOn w:val="DStyleparagraph"/>
    <w:qFormat/>
    <w:pPr>
      <w:spacing w:lineRule="atLeast" w:line="200" w:before="0" w:after="0"/>
    </w:pPr>
    <w:rPr>
      <w:rFonts w:ascii="Noto Sans Devanagari" w:hAnsi="Noto Sans Devanagari" w:eastAsia="Noto Sans" w:cs="Noto Sans"/>
      <w:b w:val="false"/>
      <w:i w:val="false"/>
      <w:caps w:val="false"/>
      <w:smallCaps w:val="false"/>
      <w:strike w:val="false"/>
      <w:dstrike w:val="false"/>
      <w:color w:val="auto"/>
      <w:sz w:val="36"/>
      <w:szCs w:val="24"/>
      <w:u w:val="none"/>
    </w:rPr>
  </w:style>
  <w:style w:type="paragraph" w:styleId="Comment">
    <w:name w:val="Comment"/>
    <w:basedOn w:val="Normal"/>
    <w:qFormat/>
    <w:pPr>
      <w:spacing w:lineRule="auto" w:line="240" w:before="56" w:after="0"/>
      <w:ind w:hanging="0" w:start="57" w:end="57"/>
    </w:pPr>
    <w:rPr>
      <w:color w:val="aut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Semlista" w:default="1">
    <w:name w:val="Sem lista"/>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pitchFamily="0" charset="1"/>
        <a:ea typeface="Arial" pitchFamily="0" charset="1"/>
        <a:cs typeface="Arial" pitchFamily="0" charset="1"/>
      </a:majorFont>
      <a:minorFont>
        <a:latin typeface="Arial" pitchFamily="0" charset="1"/>
        <a:ea typeface="Arial" pitchFamily="0" charset="1"/>
        <a:cs typeface="Arial"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a:ln w="25400"/>
        <a:ln w="38100"/>
      </a:lnStyleLst>
      <a:effectStyleLst>
        <a:effectStyle>
          <a:effectLst/>
        </a:effectStyle>
        <a:effectStyle>
          <a:effectLst/>
        </a:effectStyle>
        <a:effectStyle>
          <a:effectLst/>
        </a:effectStyle>
      </a:effectStyleLst>
      <a:bgFillStyleLst>
        <a:solidFill>
          <a:schemeClr val="phClr"/>
        </a:solidFill>
        <a:solidFill>
          <a:srgbClr val="000000"/>
        </a:solidFill>
        <a:solidFill>
          <a:srgbClr val="000000"/>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288</TotalTime>
  <Application>LibreOffice/26.2.3.1$Linux_X86_64 LibreOffice_project/620$Build-1</Application>
  <AppVersion>15.0000</AppVersion>
  <Pages>3</Pages>
  <Words>895</Words>
  <Characters>5039</Characters>
  <CharactersWithSpaces>5797</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2025-03-21T12:14:25Z</dcterms:created>
  <dc:creator/>
  <dc:description/>
  <dc:language>en-GB</dc:language>
  <cp:lastModifiedBy/>
  <dcterms:modified xsi:type="dcterms:W3CDTF">2026-04-22T16:14:57Z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file>