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spacing w:before="160" w:after="80"/>
        <w:ind w:hanging="0" w:start="0" w:end="0"/>
        <w:rPr/>
      </w:pPr>
      <w:bookmarkStart w:id="0" w:name="__DdeLink__658_3079405851"/>
      <w:r>
        <w:rPr>
          <w:rFonts w:eastAsia="Times New Roman" w:cs="Times New Roman" w:ascii="Times New Roman" w:hAnsi="Times New Roman"/>
          <w:b/>
          <w:color w:val="000000"/>
          <w:sz w:val="28"/>
        </w:rPr>
        <w:t>Green Guidance Self-Evaluation Tool for Career Practitioners</w:t>
      </w:r>
      <w:bookmarkEnd w:id="0"/>
    </w:p>
    <w:p>
      <w:pPr>
        <w:pStyle w:val="Normal"/>
        <w:bidi w:val="0"/>
        <w:ind w:hanging="0" w:start="0" w:end="0"/>
        <w:rPr>
          <w:highlight w:val="none"/>
        </w:rPr>
      </w:pPr>
      <w:bookmarkStart w:id="1" w:name="__DdeLink__658_2360008653"/>
      <w:bookmarkStart w:id="2" w:name="__DdeLink__677_2831457445"/>
      <w:r>
        <w:rPr/>
        <w:t>This tool is designed for career practitioners who want to integrate sustainability into their practice using the principles of Green Guidance. It is a framework to help you reflect on your current practice, identify areas for improvement and plan your next steps. Greening your practice is a process.</w:t>
      </w:r>
      <w:bookmarkEnd w:id="1"/>
      <w:bookmarkEnd w:id="2"/>
    </w:p>
    <w:p>
      <w:pPr>
        <w:pStyle w:val="Normal"/>
        <w:ind w:hanging="0" w:start="0" w:end="0"/>
        <w:rPr>
          <w:rFonts w:ascii="Times New Roman" w:hAnsi="Times New Roman" w:eastAsia="Times New Roman" w:cs="Times New Roman"/>
          <w:sz w:val="24"/>
          <w:szCs w:val="24"/>
        </w:rPr>
      </w:pPr>
      <w:r>
        <w:rPr>
          <w:rFonts w:eastAsia="Times New Roman" w:cs="Times New Roman"/>
          <w:sz w:val="24"/>
          <w:szCs w:val="24"/>
        </w:rPr>
      </w:r>
    </w:p>
    <w:p>
      <w:pPr>
        <w:pStyle w:val="Normal"/>
        <w:ind w:hanging="0" w:start="0" w:end="0"/>
        <w:rPr/>
      </w:pPr>
      <w:r>
        <w:rPr/>
        <w:t>How to use this tool:</w:t>
      </w:r>
    </w:p>
    <w:p>
      <w:pPr>
        <w:pStyle w:val="ListParagraph"/>
        <w:numPr>
          <w:ilvl w:val="0"/>
          <w:numId w:val="8"/>
        </w:numPr>
        <w:ind w:hanging="360" w:start="709" w:end="0"/>
        <w:rPr/>
      </w:pPr>
      <w:r>
        <w:rPr/>
        <w:t>Rate each statement using the 1–5 scale (1 = Not yet, 5 = Fully integrated).</w:t>
      </w:r>
    </w:p>
    <w:p>
      <w:pPr>
        <w:pStyle w:val="ListParagraph"/>
        <w:numPr>
          <w:ilvl w:val="0"/>
          <w:numId w:val="8"/>
        </w:numPr>
        <w:ind w:hanging="360" w:start="709" w:end="0"/>
        <w:rPr/>
      </w:pPr>
      <w:r>
        <w:rPr/>
        <w:t>Identify 1-2  priority action per domain to work on over the next 3 months.</w:t>
      </w:r>
    </w:p>
    <w:p>
      <w:pPr>
        <w:pStyle w:val="ListParagraph"/>
        <w:numPr>
          <w:ilvl w:val="0"/>
          <w:numId w:val="8"/>
        </w:numPr>
        <w:ind w:hanging="360" w:start="709" w:end="0"/>
        <w:rPr/>
      </w:pPr>
      <w:r>
        <w:rPr/>
        <w:t>You may want review your scores regularly (e.g. quarterly), note what has changed, and set new priorities.</w:t>
      </w:r>
    </w:p>
    <w:p>
      <w:pPr>
        <w:pStyle w:val="ListParagraph"/>
        <w:numPr>
          <w:ilvl w:val="0"/>
          <w:numId w:val="8"/>
        </w:numPr>
        <w:ind w:hanging="360" w:start="709" w:end="0"/>
        <w:rPr/>
      </w:pPr>
      <w:r>
        <w:rPr/>
        <w:t>Remember that change is cumulative - focus on consistent, measurable and meaningful actions.</w:t>
      </w:r>
    </w:p>
    <w:p>
      <w:pPr>
        <w:pStyle w:val="Normal"/>
        <w:ind w:hanging="0" w:start="0" w:end="0"/>
        <w:rPr>
          <w:rFonts w:ascii="Times New Roman" w:hAnsi="Times New Roman" w:eastAsia="Times New Roman" w:cs="Times New Roman"/>
          <w:sz w:val="24"/>
          <w:szCs w:val="24"/>
        </w:rPr>
      </w:pPr>
      <w:r>
        <w:rPr>
          <w:rFonts w:eastAsia="Times New Roman" w:cs="Times New Roman"/>
          <w:sz w:val="24"/>
          <w:szCs w:val="24"/>
        </w:rPr>
      </w:r>
    </w:p>
    <w:p>
      <w:pPr>
        <w:pStyle w:val="Normal"/>
        <w:ind w:hanging="0" w:start="0" w:end="0"/>
        <w:rPr>
          <w:highlight w:val="none"/>
        </w:rPr>
      </w:pPr>
      <w:r>
        <w:rPr/>
        <w:t>Scale: 1 = Not yet • 2 = Rarely • 3 = Sometimes / in progress • 4 = Often • 5 = Consistently / fully integrated</w:t>
      </w:r>
    </w:p>
    <w:p>
      <w:pPr>
        <w:pStyle w:val="Normal"/>
        <w:ind w:hanging="0" w:start="0" w:end="0"/>
        <w:rPr>
          <w:highlight w:val="none"/>
        </w:rPr>
      </w:pPr>
      <w:r>
        <w:rPr/>
      </w:r>
    </w:p>
    <w:tbl>
      <w:tblPr>
        <w:tblStyle w:val="780"/>
        <w:tblW w:w="9591" w:type="dxa"/>
        <w:jc w:val="start"/>
        <w:tblInd w:w="0" w:type="dxa"/>
        <w:tblLayout w:type="fixed"/>
        <w:tblCellMar>
          <w:top w:w="15" w:type="dxa"/>
          <w:start w:w="15" w:type="dxa"/>
          <w:bottom w:w="15" w:type="dxa"/>
          <w:end w:w="15" w:type="dxa"/>
        </w:tblCellMar>
        <w:tblLook w:noHBand="0" w:noVBand="1" w:firstColumn="1" w:lastRow="0" w:lastColumn="0" w:firstRow="1" w:val="04a0"/>
      </w:tblPr>
      <w:tblGrid>
        <w:gridCol w:w="8271"/>
        <w:gridCol w:w="264"/>
        <w:gridCol w:w="258"/>
        <w:gridCol w:w="258"/>
        <w:gridCol w:w="276"/>
        <w:gridCol w:w="264"/>
      </w:tblGrid>
      <w:tr>
        <w:trPr>
          <w:trHeight w:val="275" w:hRule="atLeast"/>
        </w:trPr>
        <w:tc>
          <w:tcPr>
            <w:tcW w:w="8271"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A: Personal awareness</w:t>
            </w:r>
          </w:p>
        </w:tc>
        <w:tc>
          <w:tcPr>
            <w:tcW w:w="264"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1</w:t>
            </w:r>
          </w:p>
        </w:tc>
        <w:tc>
          <w:tcPr>
            <w:tcW w:w="25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2</w:t>
            </w:r>
          </w:p>
        </w:tc>
        <w:tc>
          <w:tcPr>
            <w:tcW w:w="25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3</w:t>
            </w:r>
          </w:p>
        </w:tc>
        <w:tc>
          <w:tcPr>
            <w:tcW w:w="276"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4</w:t>
            </w:r>
          </w:p>
        </w:tc>
        <w:tc>
          <w:tcPr>
            <w:tcW w:w="264"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5</w:t>
            </w:r>
          </w:p>
        </w:tc>
      </w:tr>
      <w:tr>
        <w:trPr>
          <w:trHeight w:val="825"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1 I am knowledgeable about current environmental crisis (e.g., climate change, biodiversity loss, the great acceleration, planetary boundaries, tipping points...), its systemic nature and its links to the current socio-economic system (anthropocene, capitalocene, systemic lock-ins...)</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 I am aware of the connections between environmental crisis and social justice (the role of inequalities, exploitation of workers, of the global south…), of alternative narratives that promote sustainable imaginaries (e.g., doughnut economy, post-growth/degrowth, low-tech...).</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3 I understand the theoretical foundations of green guidance (origins, definition, dimensions).</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spacing w:lineRule="auto" w:line="240"/>
              <w:rPr>
                <w:rFonts w:eastAsia="Times New Roman" w:cs="Times New Roman"/>
                <w:color w:val="000000"/>
                <w:sz w:val="20"/>
                <w:szCs w:val="20"/>
              </w:rPr>
            </w:pPr>
            <w:r>
              <w:rPr>
                <w:rFonts w:eastAsia="Times New Roman" w:cs="Times New Roman"/>
                <w:color w:val="000000"/>
                <w:sz w:val="20"/>
                <w:szCs w:val="20"/>
              </w:rPr>
              <w:t>4 I am aware of the limits and tensions of promoting sustainability within existing labour market systems and reflect on power relations embedded in career guidance (labour markets, institutions, economic systems).</w:t>
            </w:r>
          </w:p>
        </w:tc>
        <w:tc>
          <w:tcPr>
            <w:tcW w:w="264"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76"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64"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r>
      <w:tr>
        <w:trPr>
          <w:trHeight w:val="550" w:hRule="atLeast"/>
        </w:trPr>
        <w:tc>
          <w:tcPr>
            <w:tcW w:w="8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5 I have reflected on how my own values, lifestyle and worldview influence my guidance practice, on my ethical dimensions of green guidance, my personal stance (e.g., conservative, liberal, light green, dark green) and professional role.</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550" w:hRule="atLeast"/>
        </w:trPr>
        <w:tc>
          <w:tcPr>
            <w:tcW w:w="9591" w:type="dxa"/>
            <w:gridSpan w:val="6"/>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Total score (4-20):</w:t>
            </w:r>
          </w:p>
          <w:p>
            <w:pPr>
              <w:pStyle w:val="Normal"/>
              <w:widowControl/>
              <w:spacing w:lineRule="auto" w:line="240" w:before="0" w:after="0"/>
              <w:jc w:val="start"/>
              <w:rPr>
                <w:sz w:val="20"/>
                <w:szCs w:val="20"/>
              </w:rPr>
            </w:pPr>
            <w:r>
              <w:rPr>
                <w:rFonts w:eastAsia="Times New Roman" w:cs="Times New Roman"/>
                <w:color w:val="000000"/>
                <w:kern w:val="0"/>
                <w:sz w:val="20"/>
                <w:szCs w:val="20"/>
              </w:rPr>
              <w:t>Priorities (next 3 months):</w:t>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Standard"/>
        <w:rPr>
          <w:bCs/>
          <w:i/>
          <w:sz w:val="20"/>
          <w:szCs w:val="20"/>
          <w:lang w:val="en-US" w:bidi="en-US"/>
          <w14:ligatures w14:val="none"/>
        </w:rPr>
      </w:pPr>
      <w:r>
        <w:rPr>
          <w:bCs/>
          <w:i/>
          <w:sz w:val="20"/>
          <w:szCs w:val="20"/>
          <w:lang w:val="en-US" w:bidi="en-US"/>
          <w14:ligatures w14:val="none"/>
        </w:rPr>
      </w:r>
    </w:p>
    <w:p>
      <w:pPr>
        <w:pStyle w:val="Standard"/>
        <w:rPr>
          <w:i/>
          <w:iCs/>
          <w:sz w:val="20"/>
          <w:szCs w:val="32"/>
          <w:lang w:val="en-US"/>
        </w:rPr>
      </w:pPr>
      <w:r>
        <w:rPr>
          <w:i/>
          <w:iCs/>
          <w:sz w:val="20"/>
          <w:szCs w:val="32"/>
          <w:lang w:val="en-US"/>
        </w:rPr>
        <w:t xml:space="preserve">Available resources (non-exhaustive): </w:t>
      </w:r>
    </w:p>
    <w:p>
      <w:pPr>
        <w:pStyle w:val="Standard"/>
        <w:numPr>
          <w:ilvl w:val="0"/>
          <w:numId w:val="1"/>
        </w:numPr>
        <w:rPr>
          <w:sz w:val="20"/>
          <w:szCs w:val="20"/>
          <w:highlight w:val="none"/>
          <w:lang w:val="en-US"/>
        </w:rPr>
      </w:pPr>
      <w:r>
        <w:rPr>
          <w:sz w:val="20"/>
          <w:szCs w:val="20"/>
          <w:lang w:val="en-US"/>
        </w:rPr>
        <w:t xml:space="preserve">Quick introduction to climate change and ecological crisis: </w:t>
      </w:r>
      <w:hyperlink r:id="rId2">
        <w:r>
          <w:rPr>
            <w:rStyle w:val="Hyperlink"/>
            <w:sz w:val="20"/>
            <w:szCs w:val="20"/>
            <w:lang w:val="en-US"/>
          </w:rPr>
          <w:t>https://www.bbc.com/news/articles/c9w15nggj58o</w:t>
        </w:r>
      </w:hyperlink>
      <w:r>
        <w:rPr>
          <w:sz w:val="20"/>
          <w:szCs w:val="20"/>
          <w:lang w:val="en-US"/>
        </w:rPr>
        <w:t xml:space="preserve">, and also </w:t>
      </w:r>
      <w:hyperlink r:id="rId3">
        <w:r>
          <w:rPr>
            <w:rStyle w:val="Hyperlink"/>
            <w:sz w:val="20"/>
            <w:szCs w:val="20"/>
            <w:lang w:val="en-US"/>
          </w:rPr>
          <w:t>https://showyourstripes.info/</w:t>
        </w:r>
      </w:hyperlink>
    </w:p>
    <w:p>
      <w:pPr>
        <w:pStyle w:val="Standard"/>
        <w:numPr>
          <w:ilvl w:val="0"/>
          <w:numId w:val="1"/>
        </w:numPr>
        <w:rPr>
          <w:sz w:val="20"/>
          <w:szCs w:val="20"/>
          <w:highlight w:val="none"/>
          <w:lang w:val="en-US"/>
        </w:rPr>
      </w:pPr>
      <w:r>
        <w:rPr>
          <w:sz w:val="20"/>
          <w:szCs w:val="20"/>
          <w:lang w:val="en-US"/>
        </w:rPr>
        <w:t xml:space="preserve">Doughnut economics: </w:t>
      </w:r>
      <w:hyperlink r:id="rId4">
        <w:r>
          <w:rPr>
            <w:rStyle w:val="Hyperlink"/>
            <w:sz w:val="20"/>
            <w:szCs w:val="20"/>
            <w:lang w:val="en-US"/>
          </w:rPr>
          <w:t>https://doughnuteconomics.org/about-doughnut-economics</w:t>
        </w:r>
      </w:hyperlink>
      <w:r>
        <w:rPr>
          <w:rStyle w:val="Hyperlink"/>
          <w:sz w:val="20"/>
          <w:szCs w:val="20"/>
          <w:lang w:val="en-US"/>
        </w:rPr>
        <w:t xml:space="preserve">; </w:t>
      </w:r>
    </w:p>
    <w:p>
      <w:pPr>
        <w:pStyle w:val="Standard"/>
        <w:numPr>
          <w:ilvl w:val="0"/>
          <w:numId w:val="1"/>
        </w:numPr>
        <w:rPr>
          <w:sz w:val="20"/>
          <w:szCs w:val="20"/>
          <w:highlight w:val="none"/>
          <w:lang w:val="en-US"/>
        </w:rPr>
      </w:pPr>
      <w:r>
        <w:rPr>
          <w:sz w:val="20"/>
          <w:szCs w:val="20"/>
          <w:lang w:val="en-US"/>
        </w:rPr>
        <w:t xml:space="preserve">Planetary boundaries: </w:t>
      </w:r>
      <w:hyperlink r:id="rId5" w:tooltip="https://www.stockholmresilience.org/research/planetary-boundaries.html">
        <w:r>
          <w:rPr>
            <w:rStyle w:val="Hyperlink"/>
            <w:sz w:val="20"/>
            <w:szCs w:val="20"/>
            <w:lang w:val="en-US"/>
          </w:rPr>
          <w:t>https://www.stockholmresilience.org/research/planetary-boundaries.html</w:t>
        </w:r>
      </w:hyperlink>
    </w:p>
    <w:p>
      <w:pPr>
        <w:pStyle w:val="Standard"/>
        <w:numPr>
          <w:ilvl w:val="0"/>
          <w:numId w:val="1"/>
        </w:numPr>
        <w:rPr>
          <w:sz w:val="20"/>
          <w:szCs w:val="20"/>
          <w:highlight w:val="none"/>
          <w:lang w:val="en-US"/>
        </w:rPr>
      </w:pPr>
      <w:r>
        <w:rPr>
          <w:sz w:val="20"/>
          <w:szCs w:val="20"/>
          <w:lang w:val="en-US"/>
        </w:rPr>
        <w:t xml:space="preserve">Environmental tipping points: </w:t>
      </w:r>
      <w:hyperlink r:id="rId6" w:tooltip="https://www.carbonbrief.org/explainer-nine-tipping-points-that-could-be-triggered-by-climate-change/">
        <w:r>
          <w:rPr>
            <w:rStyle w:val="Hyperlink"/>
            <w:sz w:val="20"/>
            <w:szCs w:val="20"/>
            <w:lang w:val="en-US"/>
          </w:rPr>
          <w:t>https://www.carbonbrief.org/explainer-nine-tipping-points-that-could-be-triggered-by-climate-change/</w:t>
        </w:r>
      </w:hyperlink>
    </w:p>
    <w:p>
      <w:pPr>
        <w:pStyle w:val="Standard"/>
        <w:numPr>
          <w:ilvl w:val="0"/>
          <w:numId w:val="1"/>
        </w:numPr>
        <w:rPr>
          <w:sz w:val="20"/>
          <w:szCs w:val="20"/>
          <w:highlight w:val="none"/>
          <w:lang w:val="en-US"/>
        </w:rPr>
      </w:pPr>
      <w:r>
        <w:rPr>
          <w:sz w:val="20"/>
          <w:szCs w:val="20"/>
          <w:lang w:val="en-US"/>
        </w:rPr>
        <w:t xml:space="preserve">Free MOOCs, such as </w:t>
      </w:r>
      <w:hyperlink r:id="rId7">
        <w:r>
          <w:rPr>
            <w:rStyle w:val="Hyperlink"/>
            <w:sz w:val="20"/>
            <w:szCs w:val="20"/>
            <w:lang w:val="en-US"/>
          </w:rPr>
          <w:t>From Climate Science to Action</w:t>
        </w:r>
      </w:hyperlink>
    </w:p>
    <w:p>
      <w:pPr>
        <w:pStyle w:val="Standard"/>
        <w:numPr>
          <w:ilvl w:val="0"/>
          <w:numId w:val="1"/>
        </w:numPr>
        <w:rPr>
          <w:sz w:val="20"/>
          <w:szCs w:val="20"/>
          <w:highlight w:val="none"/>
          <w:lang w:val="en-US"/>
        </w:rPr>
      </w:pPr>
      <w:r>
        <w:rPr>
          <w:sz w:val="20"/>
          <w:szCs w:val="20"/>
          <w:lang w:val="en-US"/>
        </w:rPr>
        <w:t xml:space="preserve">Oxfam reports on climate inequalities: </w:t>
      </w:r>
      <w:hyperlink r:id="rId8" w:tooltip="https://www.oxfam.org/en/research/climate-equality-planet-99">
        <w:r>
          <w:rPr>
            <w:rStyle w:val="Hyperlink"/>
            <w:sz w:val="20"/>
            <w:szCs w:val="20"/>
            <w:lang w:val="en-US"/>
          </w:rPr>
          <w:t xml:space="preserve">https://www.oxfam.org/en/research/climate-equality-planet-99 </w:t>
        </w:r>
      </w:hyperlink>
    </w:p>
    <w:p>
      <w:pPr>
        <w:pStyle w:val="Standard"/>
        <w:numPr>
          <w:ilvl w:val="0"/>
          <w:numId w:val="1"/>
        </w:numPr>
        <w:rPr>
          <w:sz w:val="20"/>
          <w:szCs w:val="20"/>
          <w:highlight w:val="none"/>
          <w:lang w:val="en-US"/>
        </w:rPr>
      </w:pPr>
      <w:r>
        <w:rPr>
          <w:sz w:val="20"/>
          <w:szCs w:val="20"/>
          <w:lang w:val="en-US" w:bidi="sk-SK"/>
        </w:rPr>
        <w:t xml:space="preserve">Introduction to degrowth: </w:t>
      </w:r>
      <w:hyperlink r:id="rId9" w:tooltip="https://www.degrowthinstitute.org/toolkit">
        <w:r>
          <w:rPr>
            <w:rStyle w:val="Hyperlink"/>
            <w:sz w:val="20"/>
            <w:szCs w:val="20"/>
            <w:lang w:val="en-US" w:bidi="sk-SK"/>
          </w:rPr>
          <w:t xml:space="preserve">https://www.degrowthinstitute.org/toolkit  </w:t>
        </w:r>
      </w:hyperlink>
    </w:p>
    <w:p>
      <w:pPr>
        <w:pStyle w:val="Standard"/>
        <w:numPr>
          <w:ilvl w:val="0"/>
          <w:numId w:val="1"/>
        </w:numPr>
        <w:rPr>
          <w:sz w:val="20"/>
          <w:szCs w:val="20"/>
          <w:highlight w:val="none"/>
          <w:lang w:val="en-US"/>
        </w:rPr>
      </w:pPr>
      <w:r>
        <w:rPr>
          <w:sz w:val="20"/>
          <w:szCs w:val="20"/>
          <w:lang w:val="en-US" w:bidi="sk-SK"/>
        </w:rPr>
        <w:t>Bullshit jobs (David Greaeber) or other critical works (antrhopology, sociology of work) on employment and work</w:t>
      </w:r>
    </w:p>
    <w:p>
      <w:pPr>
        <w:pStyle w:val="Standard"/>
        <w:numPr>
          <w:ilvl w:val="0"/>
          <w:numId w:val="1"/>
        </w:numPr>
        <w:rPr>
          <w:sz w:val="20"/>
          <w:szCs w:val="20"/>
          <w:highlight w:val="none"/>
          <w:lang w:val="en-US"/>
        </w:rPr>
      </w:pPr>
      <w:r>
        <w:rPr>
          <w:sz w:val="20"/>
          <w:szCs w:val="20"/>
          <w:lang w:val="en-US" w:bidi="sk-SK"/>
        </w:rPr>
        <w:t>Critical pedagogy by Paolo Freire</w:t>
      </w:r>
    </w:p>
    <w:p>
      <w:pPr>
        <w:pStyle w:val="Standard"/>
        <w:numPr>
          <w:ilvl w:val="0"/>
          <w:numId w:val="1"/>
        </w:numPr>
        <w:rPr>
          <w:sz w:val="20"/>
          <w:szCs w:val="20"/>
          <w:highlight w:val="none"/>
          <w:lang w:val="en-US"/>
        </w:rPr>
      </w:pPr>
      <w:r>
        <w:rPr>
          <w:sz w:val="20"/>
          <w:szCs w:val="20"/>
          <w:lang w:val="en-US" w:bidi="sk-SK"/>
        </w:rPr>
        <w:t>Chapter 1 of the Green Guidance Handbook: Introduction</w:t>
      </w:r>
    </w:p>
    <w:p>
      <w:pPr>
        <w:pStyle w:val="Standard"/>
        <w:numPr>
          <w:ilvl w:val="0"/>
          <w:numId w:val="1"/>
        </w:numPr>
        <w:rPr>
          <w:sz w:val="20"/>
          <w:szCs w:val="20"/>
          <w:highlight w:val="none"/>
          <w:lang w:val="en-US"/>
        </w:rPr>
      </w:pPr>
      <w:r>
        <w:rPr>
          <w:sz w:val="20"/>
          <w:szCs w:val="20"/>
          <w:lang w:val="en-US" w:bidi="sk-SK"/>
        </w:rPr>
        <w:t>Chapter 2 of the Green Guidance Handbook: What is green guidance?</w:t>
      </w:r>
    </w:p>
    <w:p>
      <w:pPr>
        <w:pStyle w:val="Standard"/>
        <w:numPr>
          <w:ilvl w:val="0"/>
          <w:numId w:val="1"/>
        </w:numPr>
        <w:rPr>
          <w:sz w:val="20"/>
          <w:szCs w:val="20"/>
          <w:highlight w:val="none"/>
          <w:lang w:val="en-US"/>
        </w:rPr>
      </w:pPr>
      <w:r>
        <w:rPr>
          <w:sz w:val="20"/>
          <w:szCs w:val="20"/>
          <w:lang w:val="en-US" w:bidi="sk-SK"/>
        </w:rPr>
        <w:t>Chapter 4 of the Green Guidance Handbook: Is green guidance ethical?</w:t>
      </w:r>
    </w:p>
    <w:p>
      <w:pPr>
        <w:pStyle w:val="Standard"/>
        <w:numPr>
          <w:ilvl w:val="0"/>
          <w:numId w:val="2"/>
        </w:numPr>
        <w:rPr>
          <w:sz w:val="20"/>
          <w:szCs w:val="20"/>
          <w:highlight w:val="none"/>
          <w:lang w:val="en-US"/>
        </w:rPr>
      </w:pPr>
      <w:r>
        <w:rPr>
          <w:sz w:val="20"/>
          <w:szCs w:val="20"/>
          <w:lang w:val="en-US" w:bidi="sk-SK"/>
        </w:rPr>
        <w:t xml:space="preserve">Green guidance literature review (optional): </w:t>
      </w:r>
      <w:hyperlink r:id="rId10" w:tooltip="https://www.green-guidance.eu/resources/evidence-on-green-guidance-a-review-of-the-literature/">
        <w:r>
          <w:rPr>
            <w:rStyle w:val="Style"/>
            <w:sz w:val="20"/>
            <w:szCs w:val="20"/>
            <w:lang w:val="en-US" w:bidi="sk-SK"/>
          </w:rPr>
          <w:t>https://www.green-guidance.eu/resources/evidence-on-green-guidance-a-review-of-the-literature/</w:t>
        </w:r>
      </w:hyperlink>
      <w:r>
        <w:br w:type="page"/>
      </w:r>
    </w:p>
    <w:tbl>
      <w:tblPr>
        <w:tblStyle w:val="780"/>
        <w:tblW w:w="9609" w:type="dxa"/>
        <w:jc w:val="start"/>
        <w:tblInd w:w="0" w:type="dxa"/>
        <w:tblLayout w:type="fixed"/>
        <w:tblCellMar>
          <w:top w:w="15" w:type="dxa"/>
          <w:start w:w="15" w:type="dxa"/>
          <w:bottom w:w="15" w:type="dxa"/>
          <w:end w:w="15" w:type="dxa"/>
        </w:tblCellMar>
        <w:tblLook w:noHBand="0" w:noVBand="1" w:firstColumn="1" w:lastRow="0" w:lastColumn="0" w:firstRow="1" w:val="04a0"/>
      </w:tblPr>
      <w:tblGrid>
        <w:gridCol w:w="8279"/>
        <w:gridCol w:w="266"/>
        <w:gridCol w:w="266"/>
        <w:gridCol w:w="257"/>
        <w:gridCol w:w="270"/>
        <w:gridCol w:w="271"/>
      </w:tblGrid>
      <w:tr>
        <w:trPr>
          <w:trHeight w:val="275" w:hRule="atLeast"/>
        </w:trPr>
        <w:tc>
          <w:tcPr>
            <w:tcW w:w="8279" w:type="dxa"/>
            <w:tcBorders/>
            <w:vAlign w:val="center"/>
          </w:tcPr>
          <w:p>
            <w:pPr>
              <w:pStyle w:val="Normal"/>
              <w:pageBreakBefore/>
              <w:widowControl/>
              <w:spacing w:lineRule="auto" w:line="240" w:before="0" w:after="0"/>
              <w:jc w:val="center"/>
              <w:rPr>
                <w:kern w:val="0"/>
                <w:sz w:val="20"/>
                <w:szCs w:val="20"/>
              </w:rPr>
            </w:pPr>
            <w:r>
              <w:rPr>
                <w:rFonts w:eastAsia="Times New Roman" w:cs="Times New Roman"/>
                <w:b/>
                <w:color w:val="000000"/>
                <w:kern w:val="0"/>
                <w:sz w:val="24"/>
                <w:szCs w:val="20"/>
              </w:rPr>
              <w:t>B: Client engagement</w:t>
            </w:r>
          </w:p>
        </w:tc>
        <w:tc>
          <w:tcPr>
            <w:tcW w:w="266" w:type="dxa"/>
            <w:tcBorders/>
            <w:vAlign w:val="center"/>
          </w:tcPr>
          <w:p>
            <w:pPr>
              <w:pStyle w:val="Normal"/>
              <w:widowControl/>
              <w:spacing w:lineRule="auto" w:line="240" w:before="0" w:after="0"/>
              <w:jc w:val="center"/>
              <w:rPr>
                <w:kern w:val="0"/>
                <w:sz w:val="20"/>
                <w:szCs w:val="20"/>
              </w:rPr>
            </w:pPr>
            <w:r>
              <w:rPr>
                <w:rFonts w:eastAsia="Times New Roman" w:cs="Times New Roman"/>
                <w:b/>
                <w:color w:val="000000"/>
                <w:kern w:val="0"/>
                <w:sz w:val="24"/>
                <w:szCs w:val="20"/>
              </w:rPr>
              <w:t>1</w:t>
            </w:r>
          </w:p>
        </w:tc>
        <w:tc>
          <w:tcPr>
            <w:tcW w:w="266" w:type="dxa"/>
            <w:tcBorders/>
            <w:vAlign w:val="center"/>
          </w:tcPr>
          <w:p>
            <w:pPr>
              <w:pStyle w:val="Normal"/>
              <w:widowControl/>
              <w:spacing w:lineRule="auto" w:line="240" w:before="0" w:after="0"/>
              <w:jc w:val="center"/>
              <w:rPr>
                <w:kern w:val="0"/>
                <w:sz w:val="20"/>
                <w:szCs w:val="20"/>
              </w:rPr>
            </w:pPr>
            <w:r>
              <w:rPr>
                <w:rFonts w:eastAsia="Times New Roman" w:cs="Times New Roman"/>
                <w:b/>
                <w:color w:val="000000"/>
                <w:kern w:val="0"/>
                <w:sz w:val="24"/>
                <w:szCs w:val="20"/>
              </w:rPr>
              <w:t>2</w:t>
            </w:r>
          </w:p>
        </w:tc>
        <w:tc>
          <w:tcPr>
            <w:tcW w:w="257" w:type="dxa"/>
            <w:tcBorders/>
            <w:vAlign w:val="center"/>
          </w:tcPr>
          <w:p>
            <w:pPr>
              <w:pStyle w:val="Normal"/>
              <w:widowControl/>
              <w:spacing w:lineRule="auto" w:line="240" w:before="0" w:after="0"/>
              <w:jc w:val="center"/>
              <w:rPr>
                <w:kern w:val="0"/>
                <w:sz w:val="20"/>
                <w:szCs w:val="20"/>
              </w:rPr>
            </w:pPr>
            <w:r>
              <w:rPr>
                <w:rFonts w:eastAsia="Times New Roman" w:cs="Times New Roman"/>
                <w:b/>
                <w:color w:val="000000"/>
                <w:kern w:val="0"/>
                <w:sz w:val="24"/>
                <w:szCs w:val="20"/>
              </w:rPr>
              <w:t>3</w:t>
            </w:r>
          </w:p>
        </w:tc>
        <w:tc>
          <w:tcPr>
            <w:tcW w:w="270" w:type="dxa"/>
            <w:tcBorders/>
            <w:vAlign w:val="center"/>
          </w:tcPr>
          <w:p>
            <w:pPr>
              <w:pStyle w:val="Normal"/>
              <w:widowControl/>
              <w:spacing w:lineRule="auto" w:line="240" w:before="0" w:after="0"/>
              <w:jc w:val="center"/>
              <w:rPr>
                <w:kern w:val="0"/>
                <w:sz w:val="20"/>
                <w:szCs w:val="20"/>
              </w:rPr>
            </w:pPr>
            <w:r>
              <w:rPr>
                <w:rFonts w:eastAsia="Times New Roman" w:cs="Times New Roman"/>
                <w:b/>
                <w:color w:val="000000"/>
                <w:kern w:val="0"/>
                <w:sz w:val="24"/>
                <w:szCs w:val="20"/>
              </w:rPr>
              <w:t>4</w:t>
            </w:r>
          </w:p>
        </w:tc>
        <w:tc>
          <w:tcPr>
            <w:tcW w:w="271" w:type="dxa"/>
            <w:tcBorders/>
            <w:vAlign w:val="center"/>
          </w:tcPr>
          <w:p>
            <w:pPr>
              <w:pStyle w:val="Normal"/>
              <w:widowControl/>
              <w:spacing w:lineRule="auto" w:line="240" w:before="0" w:after="0"/>
              <w:jc w:val="center"/>
              <w:rPr>
                <w:kern w:val="0"/>
                <w:sz w:val="20"/>
                <w:szCs w:val="20"/>
              </w:rPr>
            </w:pPr>
            <w:r>
              <w:rPr>
                <w:rFonts w:eastAsia="Times New Roman" w:cs="Times New Roman"/>
                <w:b/>
                <w:color w:val="000000"/>
                <w:kern w:val="0"/>
                <w:sz w:val="24"/>
                <w:szCs w:val="20"/>
              </w:rPr>
              <w:t>5</w:t>
            </w:r>
          </w:p>
        </w:tc>
      </w:tr>
      <w:tr>
        <w:trPr>
          <w:trHeight w:val="550" w:hRule="atLeast"/>
        </w:trPr>
        <w:tc>
          <w:tcPr>
            <w:tcW w:w="8279"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6 I introduce sustainability at the start of the client process (implicit or explicit messaging, environment of the office, contracting).</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7"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0"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825" w:hRule="atLeast"/>
        </w:trPr>
        <w:tc>
          <w:tcPr>
            <w:tcW w:w="8279"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 xml:space="preserve">7 I integrate sustainability-related reflection into career discussions: discussing values, contribution to the world, current and future labour market trends, integrating sustainability into career decisions, expanding the notion of career (reflecting on other roles within community)... without inducing feelings of guilt or moral obligation in clients. </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7"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0"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232" w:hRule="atLeast"/>
        </w:trPr>
        <w:tc>
          <w:tcPr>
            <w:tcW w:w="8279" w:type="dxa"/>
            <w:tcBorders/>
            <w:vAlign w:val="center"/>
          </w:tcPr>
          <w:p>
            <w:pPr>
              <w:pStyle w:val="Normal"/>
              <w:spacing w:lineRule="auto" w:line="240"/>
              <w:rPr>
                <w:sz w:val="16"/>
                <w:szCs w:val="16"/>
              </w:rPr>
            </w:pPr>
            <w:r>
              <w:rPr>
                <w:kern w:val="0"/>
                <w:sz w:val="20"/>
                <w:szCs w:val="20"/>
              </w:rPr>
              <w:t>8 I</w:t>
            </w:r>
            <w:r>
              <w:rPr>
                <w:rFonts w:eastAsia="Times New Roman" w:cs="Times New Roman"/>
                <w:color w:val="000000"/>
                <w:sz w:val="20"/>
                <w:szCs w:val="20"/>
              </w:rPr>
              <w:t xml:space="preserve"> can adapt the level of sustainability discussion depending on client readiness.</w:t>
            </w:r>
          </w:p>
        </w:tc>
        <w:tc>
          <w:tcPr>
            <w:tcW w:w="266"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66"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57"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70"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c>
          <w:tcPr>
            <w:tcW w:w="271"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w:t>
            </w:r>
          </w:p>
        </w:tc>
      </w:tr>
      <w:tr>
        <w:trPr>
          <w:trHeight w:val="550" w:hRule="atLeast"/>
        </w:trPr>
        <w:tc>
          <w:tcPr>
            <w:tcW w:w="8279"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9 I am able to link clients’ experiences of injustice or harm at work (burn-out, exploitation, discrimination...) to open the questions of sustainability and impact of work.</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7"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0"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550" w:hRule="atLeast"/>
        </w:trPr>
        <w:tc>
          <w:tcPr>
            <w:tcW w:w="8279"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10 I use appropriate tools from the Green Guidance Toolbox to use different dimensions of green guidance in my practice.</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6"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57"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0"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7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550" w:hRule="atLeast"/>
        </w:trPr>
        <w:tc>
          <w:tcPr>
            <w:tcW w:w="9609" w:type="dxa"/>
            <w:gridSpan w:val="6"/>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Total score (4-20):</w:t>
            </w:r>
          </w:p>
          <w:p>
            <w:pPr>
              <w:pStyle w:val="Normal"/>
              <w:widowControl/>
              <w:spacing w:lineRule="auto" w:line="240" w:before="0" w:after="0"/>
              <w:jc w:val="start"/>
              <w:rPr>
                <w:sz w:val="20"/>
                <w:szCs w:val="20"/>
              </w:rPr>
            </w:pPr>
            <w:r>
              <w:rPr>
                <w:rFonts w:eastAsia="Times New Roman" w:cs="Times New Roman"/>
                <w:color w:val="000000"/>
                <w:kern w:val="0"/>
                <w:sz w:val="20"/>
                <w:szCs w:val="20"/>
              </w:rPr>
              <w:t>Priorities (next 3 months):</w:t>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Standard"/>
        <w:rPr>
          <w:i/>
          <w:iCs/>
          <w:sz w:val="20"/>
          <w:szCs w:val="20"/>
          <w:highlight w:val="none"/>
          <w:lang w:val="en-US"/>
        </w:rPr>
      </w:pPr>
      <w:r>
        <w:rPr>
          <w:i/>
          <w:iCs/>
          <w:sz w:val="20"/>
          <w:szCs w:val="32"/>
          <w:lang w:val="en-US"/>
        </w:rPr>
        <w:t xml:space="preserve">Available resources: </w:t>
      </w:r>
    </w:p>
    <w:p>
      <w:pPr>
        <w:pStyle w:val="Standard"/>
        <w:numPr>
          <w:ilvl w:val="0"/>
          <w:numId w:val="3"/>
        </w:numPr>
        <w:rPr>
          <w:b w:val="false"/>
          <w:bCs w:val="false"/>
          <w:i w:val="false"/>
          <w:sz w:val="20"/>
          <w:szCs w:val="20"/>
          <w:lang w:val="en-US"/>
        </w:rPr>
      </w:pPr>
      <w:r>
        <w:rPr>
          <w:b w:val="false"/>
          <w:bCs w:val="false"/>
          <w:i w:val="false"/>
          <w:iCs w:val="false"/>
          <w:sz w:val="20"/>
          <w:szCs w:val="32"/>
          <w:lang w:val="en-US"/>
        </w:rPr>
        <w:t>Chapter 3 of the Green Guidance Handbook: How do our students and clients feel about green guidance?</w:t>
      </w:r>
    </w:p>
    <w:p>
      <w:pPr>
        <w:pStyle w:val="Standard"/>
        <w:numPr>
          <w:ilvl w:val="0"/>
          <w:numId w:val="3"/>
        </w:numPr>
        <w:rPr>
          <w:b w:val="false"/>
          <w:bCs w:val="false"/>
          <w:i w:val="false"/>
          <w:sz w:val="20"/>
          <w:szCs w:val="20"/>
          <w:highlight w:val="none"/>
          <w:lang w:val="en-US"/>
        </w:rPr>
      </w:pPr>
      <w:r>
        <w:rPr>
          <w:b w:val="false"/>
          <w:bCs w:val="false"/>
          <w:i w:val="false"/>
          <w:iCs w:val="false"/>
          <w:sz w:val="20"/>
          <w:szCs w:val="32"/>
          <w:lang w:val="en-US"/>
        </w:rPr>
        <w:t>Chapter 5 of the Green Guidance Handbook: How do I do green guidance? Working with individuals and groups</w:t>
      </w:r>
    </w:p>
    <w:p>
      <w:pPr>
        <w:pStyle w:val="Standard"/>
        <w:numPr>
          <w:ilvl w:val="0"/>
          <w:numId w:val="3"/>
        </w:numPr>
        <w:rPr>
          <w:b w:val="false"/>
          <w:bCs w:val="false"/>
          <w:i w:val="false"/>
          <w:sz w:val="20"/>
          <w:szCs w:val="20"/>
          <w:lang w:val="en-US"/>
        </w:rPr>
      </w:pPr>
      <w:r>
        <w:rPr>
          <w:b w:val="false"/>
          <w:bCs w:val="false"/>
          <w:i w:val="false"/>
          <w:iCs w:val="false"/>
          <w:sz w:val="20"/>
          <w:szCs w:val="32"/>
          <w:lang w:val="en-US"/>
        </w:rPr>
        <w:t xml:space="preserve">Green Guidance Toolbox: </w:t>
      </w:r>
      <w:hyperlink r:id="rId11">
        <w:r>
          <w:rPr>
            <w:rStyle w:val="Hyperlink"/>
            <w:b w:val="false"/>
            <w:bCs w:val="false"/>
            <w:i w:val="false"/>
            <w:iCs w:val="false"/>
            <w:sz w:val="20"/>
            <w:szCs w:val="32"/>
            <w:lang w:val="en-US"/>
          </w:rPr>
          <w:t>https://www.green-guidance.eu/methodologies</w:t>
        </w:r>
      </w:hyperlink>
      <w:r>
        <w:rPr>
          <w:b w:val="false"/>
          <w:bCs w:val="false"/>
          <w:i w:val="false"/>
          <w:iCs w:val="false"/>
          <w:sz w:val="20"/>
          <w:szCs w:val="32"/>
          <w:lang w:val="en-US"/>
        </w:rPr>
        <w:t xml:space="preserve">, expecially conversation starters </w:t>
      </w:r>
      <w:hyperlink r:id="rId12">
        <w:r>
          <w:rPr>
            <w:rStyle w:val="Hyperlink"/>
            <w:b w:val="false"/>
            <w:bCs w:val="false"/>
            <w:i w:val="false"/>
            <w:iCs w:val="false"/>
            <w:sz w:val="20"/>
            <w:szCs w:val="32"/>
            <w:lang w:val="en-US"/>
          </w:rPr>
          <w:t>https://www.green-guidance.eu/methodology/questions-and-conversation-starters/</w:t>
        </w:r>
      </w:hyperlink>
    </w:p>
    <w:p>
      <w:pPr>
        <w:pStyle w:val="Standard"/>
        <w:rPr>
          <w:bCs/>
          <w:i/>
          <w:sz w:val="20"/>
          <w:szCs w:val="20"/>
          <w:lang w:val="en-US" w:bidi="en-US"/>
          <w14:ligatures w14:val="none"/>
        </w:rPr>
      </w:pPr>
      <w:r>
        <w:rPr>
          <w:bCs/>
          <w:i/>
          <w:sz w:val="20"/>
          <w:szCs w:val="20"/>
          <w:lang w:val="en-US" w:bidi="en-US"/>
          <w14:ligatures w14:val="none"/>
        </w:rPr>
      </w:r>
    </w:p>
    <w:p>
      <w:pPr>
        <w:pStyle w:val="Standard"/>
        <w:rPr>
          <w:bCs/>
          <w:i/>
          <w:sz w:val="20"/>
          <w:szCs w:val="20"/>
          <w:lang w:val="en-US" w:bidi="en-US"/>
          <w14:ligatures w14:val="none"/>
        </w:rPr>
      </w:pPr>
      <w:r>
        <w:rPr>
          <w:bCs/>
          <w:i/>
          <w:sz w:val="20"/>
          <w:szCs w:val="20"/>
          <w:lang w:val="en-US" w:bidi="en-US"/>
          <w14:ligatures w14:val="none"/>
        </w:rPr>
      </w:r>
    </w:p>
    <w:tbl>
      <w:tblPr>
        <w:tblStyle w:val="780"/>
        <w:tblW w:w="9598" w:type="dxa"/>
        <w:jc w:val="start"/>
        <w:tblInd w:w="0" w:type="dxa"/>
        <w:tblLayout w:type="fixed"/>
        <w:tblCellMar>
          <w:top w:w="15" w:type="dxa"/>
          <w:start w:w="15" w:type="dxa"/>
          <w:bottom w:w="15" w:type="dxa"/>
          <w:end w:w="15" w:type="dxa"/>
        </w:tblCellMar>
        <w:tblLook w:noHBand="0" w:noVBand="1" w:firstColumn="1" w:lastRow="0" w:lastColumn="0" w:firstRow="1" w:val="04a0"/>
      </w:tblPr>
      <w:tblGrid>
        <w:gridCol w:w="8213"/>
        <w:gridCol w:w="281"/>
        <w:gridCol w:w="268"/>
        <w:gridCol w:w="284"/>
        <w:gridCol w:w="265"/>
        <w:gridCol w:w="287"/>
      </w:tblGrid>
      <w:tr>
        <w:trPr>
          <w:trHeight w:val="255" w:hRule="atLeast"/>
        </w:trPr>
        <w:tc>
          <w:tcPr>
            <w:tcW w:w="8213" w:type="dxa"/>
            <w:tcBorders/>
            <w:vAlign w:val="center"/>
          </w:tcPr>
          <w:p>
            <w:pPr>
              <w:pStyle w:val="Normal"/>
              <w:widowControl/>
              <w:spacing w:lineRule="auto" w:line="240" w:beforeAutospacing="0" w:before="0" w:afterAutospacing="0" w:after="0"/>
              <w:jc w:val="center"/>
              <w:rPr>
                <w:sz w:val="16"/>
                <w:szCs w:val="16"/>
              </w:rPr>
            </w:pPr>
            <w:r>
              <w:rPr>
                <w:rFonts w:eastAsia="Times New Roman" w:cs="Times New Roman"/>
                <w:b/>
                <w:color w:val="000000"/>
                <w:kern w:val="0"/>
                <w:sz w:val="20"/>
                <w:szCs w:val="20"/>
              </w:rPr>
              <w:t>C: Information resources</w:t>
            </w:r>
          </w:p>
        </w:tc>
        <w:tc>
          <w:tcPr>
            <w:tcW w:w="281" w:type="dxa"/>
            <w:tcBorders/>
            <w:vAlign w:val="center"/>
          </w:tcPr>
          <w:p>
            <w:pPr>
              <w:pStyle w:val="Normal"/>
              <w:widowControl/>
              <w:spacing w:lineRule="auto" w:line="240" w:beforeAutospacing="0" w:before="0" w:afterAutospacing="0" w:after="0"/>
              <w:jc w:val="center"/>
              <w:rPr>
                <w:sz w:val="16"/>
                <w:szCs w:val="16"/>
              </w:rPr>
            </w:pPr>
            <w:r>
              <w:rPr>
                <w:rFonts w:eastAsia="Times New Roman" w:cs="Times New Roman"/>
                <w:b/>
                <w:color w:val="000000"/>
                <w:kern w:val="0"/>
                <w:sz w:val="20"/>
                <w:szCs w:val="20"/>
              </w:rPr>
              <w:t>1</w:t>
            </w:r>
          </w:p>
        </w:tc>
        <w:tc>
          <w:tcPr>
            <w:tcW w:w="268" w:type="dxa"/>
            <w:tcBorders/>
            <w:vAlign w:val="center"/>
          </w:tcPr>
          <w:p>
            <w:pPr>
              <w:pStyle w:val="Normal"/>
              <w:widowControl/>
              <w:spacing w:lineRule="auto" w:line="240" w:beforeAutospacing="0" w:before="0" w:afterAutospacing="0" w:after="0"/>
              <w:jc w:val="center"/>
              <w:rPr>
                <w:sz w:val="16"/>
                <w:szCs w:val="16"/>
              </w:rPr>
            </w:pPr>
            <w:r>
              <w:rPr>
                <w:rFonts w:eastAsia="Times New Roman" w:cs="Times New Roman"/>
                <w:b/>
                <w:color w:val="000000"/>
                <w:kern w:val="0"/>
                <w:sz w:val="20"/>
                <w:szCs w:val="20"/>
              </w:rPr>
              <w:t>2</w:t>
            </w:r>
          </w:p>
        </w:tc>
        <w:tc>
          <w:tcPr>
            <w:tcW w:w="284" w:type="dxa"/>
            <w:tcBorders/>
            <w:vAlign w:val="center"/>
          </w:tcPr>
          <w:p>
            <w:pPr>
              <w:pStyle w:val="Normal"/>
              <w:widowControl/>
              <w:spacing w:lineRule="auto" w:line="240" w:beforeAutospacing="0" w:before="0" w:afterAutospacing="0" w:after="0"/>
              <w:jc w:val="center"/>
              <w:rPr>
                <w:sz w:val="16"/>
                <w:szCs w:val="16"/>
              </w:rPr>
            </w:pPr>
            <w:r>
              <w:rPr>
                <w:rFonts w:eastAsia="Times New Roman" w:cs="Times New Roman"/>
                <w:b/>
                <w:color w:val="000000"/>
                <w:kern w:val="0"/>
                <w:sz w:val="20"/>
                <w:szCs w:val="20"/>
              </w:rPr>
              <w:t>3</w:t>
            </w:r>
          </w:p>
        </w:tc>
        <w:tc>
          <w:tcPr>
            <w:tcW w:w="265" w:type="dxa"/>
            <w:tcBorders/>
            <w:vAlign w:val="center"/>
          </w:tcPr>
          <w:p>
            <w:pPr>
              <w:pStyle w:val="Normal"/>
              <w:widowControl/>
              <w:spacing w:lineRule="auto" w:line="240" w:beforeAutospacing="0" w:before="0" w:afterAutospacing="0" w:after="0"/>
              <w:jc w:val="center"/>
              <w:rPr>
                <w:sz w:val="16"/>
                <w:szCs w:val="16"/>
              </w:rPr>
            </w:pPr>
            <w:r>
              <w:rPr>
                <w:rFonts w:eastAsia="Times New Roman" w:cs="Times New Roman"/>
                <w:b/>
                <w:color w:val="000000"/>
                <w:kern w:val="0"/>
                <w:sz w:val="20"/>
                <w:szCs w:val="20"/>
              </w:rPr>
              <w:t>4</w:t>
            </w:r>
          </w:p>
        </w:tc>
        <w:tc>
          <w:tcPr>
            <w:tcW w:w="287" w:type="dxa"/>
            <w:tcBorders/>
            <w:vAlign w:val="center"/>
          </w:tcPr>
          <w:p>
            <w:pPr>
              <w:pStyle w:val="Normal"/>
              <w:widowControl/>
              <w:spacing w:lineRule="auto" w:line="240" w:beforeAutospacing="0" w:before="0" w:afterAutospacing="0" w:after="0"/>
              <w:jc w:val="center"/>
              <w:rPr>
                <w:sz w:val="16"/>
                <w:szCs w:val="16"/>
              </w:rPr>
            </w:pPr>
            <w:r>
              <w:rPr>
                <w:rFonts w:eastAsia="Times New Roman" w:cs="Times New Roman"/>
                <w:b/>
                <w:color w:val="000000"/>
                <w:kern w:val="0"/>
                <w:sz w:val="20"/>
                <w:szCs w:val="20"/>
              </w:rPr>
              <w:t>5</w:t>
            </w:r>
          </w:p>
        </w:tc>
      </w:tr>
      <w:tr>
        <w:trPr>
          <w:trHeight w:val="508" w:hRule="atLeast"/>
        </w:trPr>
        <w:tc>
          <w:tcPr>
            <w:tcW w:w="8213"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11 I know (or collect / map) and can use resources about current/emerging green occupations, on how the green transformation affects sectors and occupations (not only explicitly “green jobs”) relevant to my clients.</w:t>
            </w:r>
          </w:p>
        </w:tc>
        <w:tc>
          <w:tcPr>
            <w:tcW w:w="281"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r>
      <w:tr>
        <w:trPr>
          <w:trHeight w:val="529" w:hRule="atLeast"/>
        </w:trPr>
        <w:tc>
          <w:tcPr>
            <w:tcW w:w="8213"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12 I know (or collect / map) and use resources on current/emerging job opportunities linked to the green transition.</w:t>
            </w:r>
          </w:p>
        </w:tc>
        <w:tc>
          <w:tcPr>
            <w:tcW w:w="281"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r>
      <w:tr>
        <w:trPr>
          <w:trHeight w:val="536" w:hRule="atLeast"/>
        </w:trPr>
        <w:tc>
          <w:tcPr>
            <w:tcW w:w="8213"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13 I know (or collect / map) and can use resources about training opportunities linked to the green transition.</w:t>
            </w:r>
          </w:p>
        </w:tc>
        <w:tc>
          <w:tcPr>
            <w:tcW w:w="281"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r>
      <w:tr>
        <w:trPr>
          <w:trHeight w:val="536" w:hRule="atLeast"/>
        </w:trPr>
        <w:tc>
          <w:tcPr>
            <w:tcW w:w="8213" w:type="dxa"/>
            <w:tcBorders/>
            <w:vAlign w:val="center"/>
          </w:tcPr>
          <w:p>
            <w:pPr>
              <w:pStyle w:val="Normal"/>
              <w:spacing w:lineRule="auto" w:line="240"/>
              <w:rPr>
                <w:rFonts w:eastAsia="Times New Roman" w:cs="Times New Roman"/>
                <w:color w:val="000000"/>
                <w:sz w:val="20"/>
                <w:szCs w:val="20"/>
              </w:rPr>
            </w:pPr>
            <w:r>
              <w:rPr>
                <w:rFonts w:eastAsia="Times New Roman" w:cs="Times New Roman"/>
                <w:color w:val="000000"/>
                <w:sz w:val="20"/>
                <w:szCs w:val="20"/>
              </w:rPr>
              <w:t>14 I include information about social economy, community initiatives, and alternative economic models (including mapping of existing local initiatives).</w:t>
            </w:r>
          </w:p>
        </w:tc>
        <w:tc>
          <w:tcPr>
            <w:tcW w:w="281" w:type="dxa"/>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w:t>
            </w:r>
          </w:p>
        </w:tc>
      </w:tr>
      <w:tr>
        <w:trPr>
          <w:trHeight w:val="508" w:hRule="atLeast"/>
        </w:trPr>
        <w:tc>
          <w:tcPr>
            <w:tcW w:w="8213" w:type="dxa"/>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15 I can connect clients to relevant community initiatives or professional networks focused on sustainability, social and ecological transformation.</w:t>
            </w:r>
          </w:p>
        </w:tc>
        <w:tc>
          <w:tcPr>
            <w:tcW w:w="281"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w:t>
            </w:r>
          </w:p>
        </w:tc>
      </w:tr>
      <w:tr>
        <w:trPr>
          <w:trHeight w:val="1241" w:hRule="atLeast"/>
        </w:trPr>
        <w:tc>
          <w:tcPr>
            <w:tcW w:w="9598" w:type="dxa"/>
            <w:gridSpan w:val="6"/>
            <w:tcBorders/>
            <w:vAlign w:val="center"/>
          </w:tcPr>
          <w:p>
            <w:pPr>
              <w:pStyle w:val="Normal"/>
              <w:widowControl/>
              <w:spacing w:lineRule="auto" w:line="240" w:beforeAutospacing="0" w:before="0" w:afterAutospacing="0" w:after="0"/>
              <w:jc w:val="start"/>
              <w:rPr>
                <w:sz w:val="16"/>
                <w:szCs w:val="16"/>
              </w:rPr>
            </w:pPr>
            <w:r>
              <w:rPr>
                <w:rFonts w:eastAsia="Times New Roman" w:cs="Times New Roman"/>
                <w:color w:val="000000"/>
                <w:kern w:val="0"/>
                <w:sz w:val="20"/>
                <w:szCs w:val="20"/>
              </w:rPr>
              <w:t>Total score (4-20):</w:t>
            </w:r>
          </w:p>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Priorities (next 3 months):</w:t>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pacing w:lineRule="auto" w:line="240" w:beforeAutospacing="0" w:before="0" w:afterAutospacing="0" w:after="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Standard"/>
        <w:rPr>
          <w:i/>
          <w:iCs/>
          <w:sz w:val="20"/>
          <w:szCs w:val="20"/>
          <w:highlight w:val="none"/>
          <w:lang w:val="en-US"/>
        </w:rPr>
      </w:pPr>
      <w:r>
        <w:rPr>
          <w:i/>
          <w:iCs/>
          <w:sz w:val="20"/>
          <w:szCs w:val="32"/>
          <w:lang w:val="en-US"/>
        </w:rPr>
        <w:t xml:space="preserve">Available resources (non-exhaustive): </w:t>
      </w:r>
    </w:p>
    <w:p>
      <w:pPr>
        <w:pStyle w:val="Standard"/>
        <w:numPr>
          <w:ilvl w:val="0"/>
          <w:numId w:val="4"/>
        </w:numPr>
        <w:rPr>
          <w:bCs w:val="false"/>
          <w:i w:val="false"/>
          <w:sz w:val="20"/>
          <w:szCs w:val="20"/>
          <w:u w:val="none"/>
          <w:lang w:val="en-US"/>
        </w:rPr>
      </w:pPr>
      <w:r>
        <w:rPr>
          <w:bCs/>
          <w:i w:val="false"/>
          <w:iCs w:val="false"/>
          <w:sz w:val="20"/>
          <w:szCs w:val="20"/>
          <w:u w:val="none"/>
          <w:lang w:val="en-US"/>
        </w:rPr>
        <w:t xml:space="preserve">Introduction to green jobs: </w:t>
      </w:r>
      <w:hyperlink r:id="rId13">
        <w:r>
          <w:rPr>
            <w:rStyle w:val="Hyperlink"/>
            <w:bCs/>
            <w:i w:val="false"/>
            <w:iCs w:val="false"/>
            <w:sz w:val="20"/>
            <w:szCs w:val="20"/>
            <w:lang w:val="en-US"/>
          </w:rPr>
          <w:t>https://www.green-guidance.eu/methodology/introduction-to-green-jobs/</w:t>
        </w:r>
      </w:hyperlink>
    </w:p>
    <w:p>
      <w:pPr>
        <w:pStyle w:val="Standard"/>
        <w:numPr>
          <w:ilvl w:val="0"/>
          <w:numId w:val="4"/>
        </w:numPr>
        <w:rPr>
          <w:bCs w:val="false"/>
          <w:i w:val="false"/>
          <w:sz w:val="20"/>
          <w:szCs w:val="20"/>
          <w:u w:val="none"/>
          <w:lang w:val="en-US"/>
        </w:rPr>
      </w:pPr>
      <w:r>
        <w:rPr>
          <w:bCs/>
          <w:i w:val="false"/>
          <w:iCs w:val="false"/>
          <w:sz w:val="20"/>
          <w:szCs w:val="20"/>
          <w:u w:val="none"/>
          <w:lang w:val="en-US"/>
        </w:rPr>
        <w:t xml:space="preserve">Green Guidance Padlet: </w:t>
      </w:r>
      <w:hyperlink r:id="rId14">
        <w:r>
          <w:rPr>
            <w:rStyle w:val="Hyperlink"/>
            <w:bCs/>
            <w:i w:val="false"/>
            <w:iCs w:val="false"/>
            <w:sz w:val="20"/>
            <w:szCs w:val="20"/>
            <w:lang w:val="en-US"/>
          </w:rPr>
          <w:t>https://padlet.com/Mapa_Karier/exploring-green-guidance-resources-for-educators-en-ww4t99rctv71rat5</w:t>
        </w:r>
      </w:hyperlink>
    </w:p>
    <w:p>
      <w:pPr>
        <w:pStyle w:val="Standard"/>
        <w:numPr>
          <w:ilvl w:val="0"/>
          <w:numId w:val="4"/>
        </w:numPr>
        <w:rPr>
          <w:bCs w:val="false"/>
          <w:i w:val="false"/>
          <w:sz w:val="20"/>
          <w:szCs w:val="20"/>
          <w:u w:val="none"/>
          <w:lang w:val="en-US"/>
        </w:rPr>
      </w:pPr>
      <w:r>
        <w:rPr>
          <w:bCs w:val="false"/>
          <w:i w:val="false"/>
          <w:sz w:val="20"/>
          <w:szCs w:val="20"/>
          <w:u w:val="none"/>
          <w:lang w:val="en-US"/>
        </w:rPr>
        <w:t>Your own database of useful resources for your clients and students</w:t>
      </w:r>
    </w:p>
    <w:tbl>
      <w:tblPr>
        <w:tblStyle w:val="780"/>
        <w:tblW w:w="9598" w:type="dxa"/>
        <w:jc w:val="start"/>
        <w:tblInd w:w="0" w:type="dxa"/>
        <w:tblLayout w:type="fixed"/>
        <w:tblCellMar>
          <w:top w:w="15" w:type="dxa"/>
          <w:start w:w="15" w:type="dxa"/>
          <w:bottom w:w="15" w:type="dxa"/>
          <w:end w:w="15" w:type="dxa"/>
        </w:tblCellMar>
        <w:tblLook w:noHBand="0" w:noVBand="1" w:firstColumn="1" w:lastRow="0" w:lastColumn="0" w:firstRow="1" w:val="04a0"/>
      </w:tblPr>
      <w:tblGrid>
        <w:gridCol w:w="8213"/>
        <w:gridCol w:w="281"/>
        <w:gridCol w:w="268"/>
        <w:gridCol w:w="284"/>
        <w:gridCol w:w="265"/>
        <w:gridCol w:w="287"/>
      </w:tblGrid>
      <w:tr>
        <w:trPr>
          <w:tblHeader w:val="true"/>
          <w:trHeight w:val="262" w:hRule="atLeast"/>
        </w:trPr>
        <w:tc>
          <w:tcPr>
            <w:tcW w:w="8213" w:type="dxa"/>
            <w:tcBorders/>
            <w:vAlign w:val="center"/>
          </w:tcPr>
          <w:p>
            <w:pPr>
              <w:pStyle w:val="Normal"/>
              <w:widowControl/>
              <w:spacing w:lineRule="auto" w:line="240" w:before="0" w:after="0"/>
              <w:jc w:val="center"/>
              <w:rPr>
                <w:sz w:val="20"/>
                <w:szCs w:val="20"/>
              </w:rPr>
            </w:pPr>
            <w:r>
              <w:rPr>
                <w:rFonts w:eastAsia="Times New Roman" w:cs="Times New Roman"/>
                <w:b/>
                <w:color w:val="000000"/>
                <w:kern w:val="0"/>
                <w:sz w:val="20"/>
                <w:szCs w:val="20"/>
              </w:rPr>
              <w:t>D: Critical reflection, imagination &amp; transformation</w:t>
            </w:r>
          </w:p>
        </w:tc>
        <w:tc>
          <w:tcPr>
            <w:tcW w:w="281"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1</w:t>
            </w:r>
          </w:p>
        </w:tc>
        <w:tc>
          <w:tcPr>
            <w:tcW w:w="26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2</w:t>
            </w:r>
          </w:p>
        </w:tc>
        <w:tc>
          <w:tcPr>
            <w:tcW w:w="284"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3</w:t>
            </w:r>
          </w:p>
        </w:tc>
        <w:tc>
          <w:tcPr>
            <w:tcW w:w="265"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4</w:t>
            </w:r>
          </w:p>
        </w:tc>
        <w:tc>
          <w:tcPr>
            <w:tcW w:w="287"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5</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16 I help clients perceive social, political, and economic contradictions (critical consciousness) and think of how to act towards more social justice and sustainability.</w:t>
            </w:r>
          </w:p>
        </w:tc>
        <w:tc>
          <w:tcPr>
            <w:tcW w:w="28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646" w:hRule="atLeast"/>
        </w:trPr>
        <w:tc>
          <w:tcPr>
            <w:tcW w:w="8213"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 xml:space="preserve">17 I facilitate discussions about dominant norms of success, competition, growth, conformity, performance, and constant change </w:t>
            </w:r>
            <w:r>
              <w:rPr>
                <w:rFonts w:eastAsia="Times New Roman" w:cs="Times New Roman"/>
                <w:color w:val="000000"/>
                <w:kern w:val="0"/>
                <w:sz w:val="20"/>
                <w:szCs w:val="20"/>
                <w:lang w:val="en-GB" w:eastAsia="zh-CN" w:bidi="hi-IN"/>
              </w:rPr>
              <w:t>to explore other alternatives that are mindful of the common good.</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558" w:hRule="atLeast"/>
        </w:trPr>
        <w:tc>
          <w:tcPr>
            <w:tcW w:w="8213" w:type="dxa"/>
            <w:tcBorders/>
            <w:vAlign w:val="center"/>
          </w:tcPr>
          <w:p>
            <w:pPr>
              <w:pStyle w:val="Normal"/>
              <w:widowControl/>
              <w:spacing w:lineRule="auto" w:line="240" w:before="0" w:after="0"/>
              <w:jc w:val="start"/>
              <w:rPr>
                <w:kern w:val="0"/>
                <w:sz w:val="20"/>
                <w:szCs w:val="20"/>
              </w:rPr>
            </w:pPr>
            <w:r>
              <w:rPr>
                <w:kern w:val="0"/>
                <w:sz w:val="20"/>
                <w:szCs w:val="20"/>
              </w:rPr>
              <w:t>18 I create space for clients to express emotions related to environmental and social crises and help clients navigate uncertainty related to ecological, economic and technological transitions.</w:t>
            </w:r>
          </w:p>
        </w:tc>
        <w:tc>
          <w:tcPr>
            <w:tcW w:w="281"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19 I help clients envision desirable, sustainable futures and professional lives and develop sustainable imaginaries.</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20 I support clients to recognise limits to individual action and consider collective routes to social transformation (community initiatives, sustainability networks, trade unions, solidarity organising...).</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2106" w:hRule="atLeast"/>
        </w:trPr>
        <w:tc>
          <w:tcPr>
            <w:tcW w:w="9598" w:type="dxa"/>
            <w:gridSpan w:val="6"/>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Total score (4-20):</w:t>
            </w:r>
          </w:p>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Priorities (next 3 months):</w:t>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Standard"/>
        <w:rPr>
          <w:i/>
          <w:iCs/>
          <w:sz w:val="20"/>
          <w:szCs w:val="20"/>
          <w:highlight w:val="none"/>
          <w:lang w:val="en-US"/>
        </w:rPr>
      </w:pPr>
      <w:r>
        <w:rPr>
          <w:i/>
          <w:iCs/>
          <w:sz w:val="20"/>
          <w:szCs w:val="32"/>
          <w:lang w:val="en-US"/>
        </w:rPr>
        <w:t xml:space="preserve">Available resources (non-exhaustive): </w:t>
      </w:r>
    </w:p>
    <w:p>
      <w:pPr>
        <w:pStyle w:val="Standard"/>
        <w:numPr>
          <w:ilvl w:val="0"/>
          <w:numId w:val="5"/>
        </w:numPr>
        <w:rPr>
          <w:sz w:val="20"/>
          <w:szCs w:val="20"/>
          <w:highlight w:val="none"/>
          <w:lang w:val="en-US"/>
        </w:rPr>
      </w:pPr>
      <w:r>
        <w:rPr>
          <w:sz w:val="20"/>
          <w:szCs w:val="20"/>
          <w:lang w:val="en-US" w:bidi="sk-SK"/>
        </w:rPr>
        <w:t>Chapter 2 of the Green Guidance Handbook: What is green guidance?</w:t>
      </w:r>
    </w:p>
    <w:p>
      <w:pPr>
        <w:pStyle w:val="Standard"/>
        <w:numPr>
          <w:ilvl w:val="0"/>
          <w:numId w:val="5"/>
        </w:numPr>
        <w:bidi w:val="0"/>
        <w:rPr>
          <w:sz w:val="20"/>
          <w:szCs w:val="20"/>
          <w:highlight w:val="none"/>
          <w:lang w:val="en-US"/>
        </w:rPr>
      </w:pPr>
      <w:r>
        <w:rPr>
          <w:sz w:val="20"/>
          <w:szCs w:val="20"/>
          <w:lang w:val="en-US" w:bidi="en-US"/>
        </w:rPr>
        <w:t xml:space="preserve">Resources and podcasts on alternatives: </w:t>
      </w:r>
      <w:hyperlink r:id="rId15">
        <w:r>
          <w:rPr>
            <w:rStyle w:val="Hyperlink"/>
            <w:sz w:val="20"/>
            <w:szCs w:val="20"/>
            <w:lang w:val="en-US" w:bidi="en-US"/>
          </w:rPr>
          <w:t>https://www.upstreampodcast.org/documentaries</w:t>
        </w:r>
      </w:hyperlink>
      <w:r>
        <w:rPr>
          <w:sz w:val="20"/>
          <w:szCs w:val="20"/>
          <w:lang w:val="en-US" w:bidi="en-US"/>
        </w:rPr>
        <w:t xml:space="preserve">, </w:t>
      </w:r>
      <w:hyperlink r:id="rId16">
        <w:r>
          <w:rPr>
            <w:rStyle w:val="Hyperlink"/>
            <w:sz w:val="20"/>
            <w:szCs w:val="20"/>
            <w:lang w:val="en-US" w:bidi="en-US"/>
          </w:rPr>
          <w:t>https://globaltapestryofalternatives.org/index</w:t>
        </w:r>
      </w:hyperlink>
      <w:r>
        <w:rPr>
          <w:sz w:val="20"/>
          <w:szCs w:val="20"/>
          <w:lang w:val="en-US" w:bidi="en-US"/>
        </w:rPr>
        <w:t xml:space="preserve">, </w:t>
      </w:r>
      <w:hyperlink r:id="rId17">
        <w:r>
          <w:rPr>
            <w:rStyle w:val="Hyperlink"/>
            <w:sz w:val="20"/>
            <w:szCs w:val="20"/>
            <w:lang w:val="en-US" w:bidi="en-US"/>
          </w:rPr>
          <w:t>https://degrowth.info/en</w:t>
        </w:r>
      </w:hyperlink>
      <w:r>
        <w:rPr>
          <w:sz w:val="20"/>
          <w:szCs w:val="20"/>
          <w:lang w:val="en-US" w:bidi="en-US"/>
        </w:rPr>
        <w:t xml:space="preserve">, </w:t>
      </w:r>
      <w:hyperlink r:id="rId18">
        <w:r>
          <w:rPr>
            <w:rStyle w:val="Hyperlink"/>
            <w:sz w:val="20"/>
            <w:szCs w:val="20"/>
            <w:lang w:val="en-US" w:bidi="en-US"/>
          </w:rPr>
          <w:t>https://weall.org/</w:t>
        </w:r>
      </w:hyperlink>
    </w:p>
    <w:p>
      <w:pPr>
        <w:pStyle w:val="Standard"/>
        <w:numPr>
          <w:ilvl w:val="0"/>
          <w:numId w:val="5"/>
        </w:numPr>
        <w:rPr>
          <w:sz w:val="20"/>
          <w:szCs w:val="20"/>
          <w:highlight w:val="none"/>
          <w:lang w:val="en-US"/>
        </w:rPr>
      </w:pPr>
      <w:r>
        <w:rPr>
          <w:sz w:val="20"/>
          <w:szCs w:val="20"/>
          <w:lang w:val="en-US" w:bidi="en-US"/>
        </w:rPr>
        <w:t>Green guidance toolbox: “Imagine and invent the world as you career” category</w:t>
      </w:r>
    </w:p>
    <w:p>
      <w:pPr>
        <w:pStyle w:val="Standard"/>
        <w:numPr>
          <w:ilvl w:val="0"/>
          <w:numId w:val="5"/>
        </w:numPr>
        <w:rPr>
          <w:sz w:val="20"/>
          <w:szCs w:val="20"/>
          <w:highlight w:val="none"/>
          <w:lang w:val="en-US"/>
        </w:rPr>
      </w:pPr>
      <w:r>
        <w:rPr>
          <w:sz w:val="20"/>
          <w:szCs w:val="20"/>
          <w:lang w:val="en-US" w:bidi="en-US"/>
        </w:rPr>
        <w:t>Your own map of local community initiatives linked to sustainability and social transformation</w:t>
      </w:r>
    </w:p>
    <w:p>
      <w:pPr>
        <w:pStyle w:val="Standard"/>
        <w:numPr>
          <w:ilvl w:val="0"/>
          <w:numId w:val="5"/>
        </w:numPr>
        <w:rPr>
          <w:sz w:val="20"/>
          <w:szCs w:val="20"/>
          <w:highlight w:val="none"/>
          <w:lang w:val="en-US"/>
        </w:rPr>
      </w:pPr>
      <w:r>
        <w:rPr>
          <w:sz w:val="20"/>
          <w:szCs w:val="20"/>
          <w:lang w:val="en-US" w:bidi="en-US"/>
        </w:rPr>
        <w:t xml:space="preserve">Free MOOCs such as  </w:t>
      </w:r>
      <w:hyperlink r:id="rId19">
        <w:r>
          <w:rPr>
            <w:rStyle w:val="Hyperlink"/>
            <w:sz w:val="20"/>
            <w:szCs w:val="20"/>
            <w:lang w:val="en-US" w:bidi="en-US"/>
          </w:rPr>
          <w:t>MOOC on the Social and Solidarity Economy</w:t>
        </w:r>
      </w:hyperlink>
    </w:p>
    <w:p>
      <w:pPr>
        <w:pStyle w:val="Standard"/>
        <w:rPr>
          <w:bCs/>
          <w:i/>
          <w:sz w:val="20"/>
          <w:szCs w:val="20"/>
          <w:lang w:val="en-US" w:bidi="en-US"/>
          <w14:ligatures w14:val="none"/>
        </w:rPr>
      </w:pPr>
      <w:r>
        <w:rPr>
          <w:bCs/>
          <w:i/>
          <w:sz w:val="20"/>
          <w:szCs w:val="20"/>
          <w:lang w:val="en-US" w:bidi="en-US"/>
          <w14:ligatures w14:val="none"/>
        </w:rPr>
      </w:r>
    </w:p>
    <w:p>
      <w:pPr>
        <w:pStyle w:val="Standard"/>
        <w:rPr>
          <w:bCs/>
          <w:i/>
          <w:sz w:val="20"/>
          <w:szCs w:val="20"/>
          <w:lang w:val="en-US" w:bidi="en-US"/>
          <w14:ligatures w14:val="none"/>
        </w:rPr>
      </w:pPr>
      <w:r>
        <w:rPr>
          <w:bCs/>
          <w:i/>
          <w:sz w:val="20"/>
          <w:szCs w:val="20"/>
          <w:lang w:val="en-US" w:bidi="en-US"/>
          <w14:ligatures w14:val="none"/>
        </w:rPr>
      </w:r>
    </w:p>
    <w:tbl>
      <w:tblPr>
        <w:tblStyle w:val="780"/>
        <w:tblW w:w="9598" w:type="dxa"/>
        <w:jc w:val="start"/>
        <w:tblInd w:w="0" w:type="dxa"/>
        <w:tblLayout w:type="fixed"/>
        <w:tblCellMar>
          <w:top w:w="15" w:type="dxa"/>
          <w:start w:w="15" w:type="dxa"/>
          <w:bottom w:w="15" w:type="dxa"/>
          <w:end w:w="15" w:type="dxa"/>
        </w:tblCellMar>
        <w:tblLook w:noHBand="0" w:noVBand="1" w:firstColumn="1" w:lastRow="0" w:lastColumn="0" w:firstRow="1" w:val="04a0"/>
      </w:tblPr>
      <w:tblGrid>
        <w:gridCol w:w="8213"/>
        <w:gridCol w:w="281"/>
        <w:gridCol w:w="268"/>
        <w:gridCol w:w="284"/>
        <w:gridCol w:w="265"/>
        <w:gridCol w:w="287"/>
      </w:tblGrid>
      <w:tr>
        <w:trPr>
          <w:tblHeader w:val="true"/>
          <w:trHeight w:val="262" w:hRule="atLeast"/>
        </w:trPr>
        <w:tc>
          <w:tcPr>
            <w:tcW w:w="8213"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E: Continuous Professional Development (CPD)</w:t>
            </w:r>
          </w:p>
        </w:tc>
        <w:tc>
          <w:tcPr>
            <w:tcW w:w="281"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1</w:t>
            </w:r>
          </w:p>
        </w:tc>
        <w:tc>
          <w:tcPr>
            <w:tcW w:w="26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2</w:t>
            </w:r>
          </w:p>
        </w:tc>
        <w:tc>
          <w:tcPr>
            <w:tcW w:w="284"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3</w:t>
            </w:r>
          </w:p>
        </w:tc>
        <w:tc>
          <w:tcPr>
            <w:tcW w:w="265"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4</w:t>
            </w:r>
          </w:p>
        </w:tc>
        <w:tc>
          <w:tcPr>
            <w:tcW w:w="287"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5</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21 I actively use the Green Guidance Toolbox, Handbook, impact report, case studies and other resources to enhance my practice.</w:t>
            </w:r>
          </w:p>
        </w:tc>
        <w:tc>
          <w:tcPr>
            <w:tcW w:w="28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64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22 I engage in peer collaboration (intervision, supervision, exchange of good practices) related to Green Guidance.</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23 I pursue professional development opportunities related to Green Guidance.</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526" w:hRule="atLeast"/>
        </w:trPr>
        <w:tc>
          <w:tcPr>
            <w:tcW w:w="8213"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24 I experiment with new tools and methods integrating sustainability, track the results (methods used, impacts observed) to reflect and improve my practice.</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526" w:hRule="atLeast"/>
        </w:trPr>
        <w:tc>
          <w:tcPr>
            <w:tcW w:w="8213" w:type="dxa"/>
            <w:tcBorders/>
            <w:vAlign w:val="center"/>
          </w:tcPr>
          <w:p>
            <w:pPr>
              <w:pStyle w:val="Normal"/>
              <w:widowControl/>
              <w:spacing w:lineRule="auto" w:line="240" w:before="0" w:after="0"/>
              <w:jc w:val="start"/>
              <w:rPr>
                <w:kern w:val="0"/>
                <w:sz w:val="20"/>
                <w:szCs w:val="20"/>
              </w:rPr>
            </w:pPr>
            <w:r>
              <w:rPr>
                <w:kern w:val="0"/>
                <w:sz w:val="20"/>
                <w:szCs w:val="20"/>
              </w:rPr>
              <w:t>25 I contribute to sharing practices or developing knowledge on green guidance.</w:t>
            </w:r>
          </w:p>
        </w:tc>
        <w:tc>
          <w:tcPr>
            <w:tcW w:w="281"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r>
      <w:tr>
        <w:trPr>
          <w:trHeight w:val="1577" w:hRule="atLeast"/>
        </w:trPr>
        <w:tc>
          <w:tcPr>
            <w:tcW w:w="9598" w:type="dxa"/>
            <w:gridSpan w:val="6"/>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Total score (4-20):</w:t>
            </w:r>
          </w:p>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Priorities (next 3 months)</w:t>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Standard"/>
        <w:rPr>
          <w:i/>
          <w:iCs/>
          <w:sz w:val="20"/>
          <w:szCs w:val="20"/>
          <w:highlight w:val="none"/>
          <w:lang w:val="en-US"/>
        </w:rPr>
      </w:pPr>
      <w:r>
        <w:rPr>
          <w:i/>
          <w:iCs/>
          <w:sz w:val="20"/>
          <w:szCs w:val="32"/>
          <w:lang w:val="en-US"/>
        </w:rPr>
        <w:t xml:space="preserve">Available resources (non-exhaustive): </w:t>
      </w:r>
    </w:p>
    <w:p>
      <w:pPr>
        <w:pStyle w:val="Standard"/>
        <w:numPr>
          <w:ilvl w:val="0"/>
          <w:numId w:val="7"/>
        </w:numPr>
        <w:rPr>
          <w:b w:val="false"/>
          <w:bCs w:val="false"/>
          <w:i w:val="false"/>
          <w:sz w:val="20"/>
          <w:szCs w:val="20"/>
          <w:lang w:val="en-US"/>
        </w:rPr>
      </w:pPr>
      <w:r>
        <w:rPr>
          <w:b w:val="false"/>
          <w:bCs w:val="false"/>
          <w:i w:val="false"/>
          <w:iCs w:val="false"/>
          <w:sz w:val="20"/>
          <w:szCs w:val="32"/>
          <w:lang w:val="en-US"/>
        </w:rPr>
        <w:t xml:space="preserve">Green Guidance Toolbox: </w:t>
      </w:r>
      <w:hyperlink r:id="rId20" w:tooltip="https://www.green-guidance.eu/methodologies">
        <w:r>
          <w:rPr>
            <w:rStyle w:val="Style"/>
            <w:b w:val="false"/>
            <w:bCs w:val="false"/>
            <w:i w:val="false"/>
            <w:iCs w:val="false"/>
            <w:sz w:val="20"/>
            <w:szCs w:val="32"/>
            <w:lang w:val="en-US"/>
          </w:rPr>
          <w:t>https://www.green-guidance.eu/methodologies</w:t>
        </w:r>
      </w:hyperlink>
    </w:p>
    <w:p>
      <w:pPr>
        <w:pStyle w:val="Standard"/>
        <w:numPr>
          <w:ilvl w:val="0"/>
          <w:numId w:val="7"/>
        </w:numPr>
        <w:rPr>
          <w:b w:val="false"/>
          <w:bCs w:val="false"/>
          <w:i w:val="false"/>
          <w:sz w:val="20"/>
          <w:szCs w:val="20"/>
          <w:lang w:val="en-US"/>
        </w:rPr>
      </w:pPr>
      <w:r>
        <w:rPr>
          <w:b w:val="false"/>
          <w:bCs w:val="false"/>
          <w:i w:val="false"/>
          <w:sz w:val="20"/>
          <w:szCs w:val="20"/>
          <w:lang w:val="en-US" w:bidi="en-US"/>
        </w:rPr>
        <w:t xml:space="preserve">Seeking input from clients on environmental issues tool: </w:t>
      </w:r>
      <w:hyperlink r:id="rId21" w:tooltip="https://www.green-guidance.eu/methodology/seeking-input-from-clients-on-environmental-issues/">
        <w:r>
          <w:rPr>
            <w:rStyle w:val="Style"/>
            <w:b w:val="false"/>
            <w:bCs w:val="false"/>
            <w:i w:val="false"/>
            <w:sz w:val="20"/>
            <w:szCs w:val="20"/>
            <w:lang w:val="en-US" w:bidi="en-US"/>
          </w:rPr>
          <w:t>https://www.green-guidance.eu/methodology/seeking-input-from-clients-on-environmental-issues/</w:t>
        </w:r>
      </w:hyperlink>
    </w:p>
    <w:p>
      <w:pPr>
        <w:pStyle w:val="Standard"/>
        <w:numPr>
          <w:ilvl w:val="0"/>
          <w:numId w:val="7"/>
        </w:numPr>
        <w:rPr>
          <w:b w:val="false"/>
          <w:bCs w:val="false"/>
          <w:i w:val="false"/>
          <w:sz w:val="20"/>
          <w:szCs w:val="20"/>
          <w:lang w:val="en-US"/>
        </w:rPr>
      </w:pPr>
      <w:r>
        <w:rPr>
          <w:b w:val="false"/>
          <w:bCs w:val="false"/>
          <w:i w:val="false"/>
          <w:sz w:val="20"/>
          <w:szCs w:val="20"/>
          <w:lang w:val="en-US" w:bidi="en-US"/>
        </w:rPr>
        <w:t>Your own tools that integrate sustainability dimension</w:t>
      </w:r>
    </w:p>
    <w:p>
      <w:pPr>
        <w:pStyle w:val="Standard"/>
        <w:numPr>
          <w:ilvl w:val="0"/>
          <w:numId w:val="7"/>
        </w:numPr>
        <w:bidi w:val="0"/>
        <w:rPr>
          <w:b w:val="false"/>
          <w:bCs w:val="false"/>
          <w:i w:val="false"/>
          <w:sz w:val="20"/>
          <w:szCs w:val="20"/>
          <w:lang w:val="en-US"/>
        </w:rPr>
      </w:pPr>
      <w:r>
        <w:rPr>
          <w:b w:val="false"/>
          <w:bCs w:val="false"/>
          <w:i w:val="false"/>
          <w:sz w:val="20"/>
          <w:szCs w:val="20"/>
          <w:lang w:val="en-US" w:bidi="en-US"/>
        </w:rPr>
        <w:t>Local communities of practitioners, such as “</w:t>
      </w:r>
      <w:hyperlink r:id="rId22">
        <w:r>
          <w:rPr>
            <w:rStyle w:val="Hyperlink"/>
            <w:b w:val="false"/>
            <w:bCs w:val="false"/>
            <w:i w:val="false"/>
            <w:sz w:val="20"/>
            <w:szCs w:val="20"/>
            <w:lang w:val="en-US" w:bidi="en-US"/>
          </w:rPr>
          <w:t>Guiding Green careers</w:t>
        </w:r>
      </w:hyperlink>
      <w:r>
        <w:rPr>
          <w:b w:val="false"/>
          <w:bCs w:val="false"/>
          <w:i w:val="false"/>
          <w:sz w:val="20"/>
          <w:szCs w:val="20"/>
          <w:lang w:val="en-US" w:bidi="en-US"/>
        </w:rPr>
        <w:t xml:space="preserve"> (English speaking)”, </w:t>
      </w:r>
      <w:hyperlink r:id="rId23">
        <w:r>
          <w:rPr>
            <w:rStyle w:val="Hyperlink"/>
            <w:b w:val="false"/>
            <w:bCs w:val="false"/>
            <w:i w:val="false"/>
            <w:sz w:val="20"/>
            <w:szCs w:val="20"/>
            <w:lang w:val="en-US" w:bidi="en-US"/>
          </w:rPr>
          <w:t>Lab Green Guidance</w:t>
        </w:r>
      </w:hyperlink>
      <w:r>
        <w:rPr>
          <w:b w:val="false"/>
          <w:bCs w:val="false"/>
          <w:i w:val="false"/>
          <w:sz w:val="20"/>
          <w:szCs w:val="20"/>
          <w:lang w:val="en-US" w:bidi="en-US"/>
        </w:rPr>
        <w:t xml:space="preserve"> (French speaking)</w:t>
      </w:r>
    </w:p>
    <w:p>
      <w:pPr>
        <w:pStyle w:val="Standard"/>
        <w:numPr>
          <w:ilvl w:val="0"/>
          <w:numId w:val="7"/>
        </w:numPr>
        <w:rPr>
          <w:b w:val="false"/>
          <w:bCs w:val="false"/>
          <w:i w:val="false"/>
          <w:sz w:val="20"/>
          <w:szCs w:val="20"/>
          <w:lang w:val="en-US"/>
        </w:rPr>
      </w:pPr>
      <w:r>
        <w:rPr>
          <w:b w:val="false"/>
          <w:bCs w:val="false"/>
          <w:i w:val="false"/>
          <w:sz w:val="20"/>
          <w:szCs w:val="20"/>
          <w:lang w:val="en-US" w:bidi="en-US"/>
        </w:rPr>
        <w:t>Share your tool or case study on the green-guidance.eu website (contact info@green-guidance.eu)</w:t>
      </w:r>
    </w:p>
    <w:p>
      <w:pPr>
        <w:pStyle w:val="Standard"/>
        <w:rPr>
          <w:bCs/>
          <w:i/>
          <w:sz w:val="20"/>
          <w:szCs w:val="20"/>
          <w:lang w:val="en-US" w:bidi="en-US"/>
          <w14:ligatures w14:val="none"/>
        </w:rPr>
      </w:pPr>
      <w:r>
        <w:rPr>
          <w:bCs/>
          <w:i/>
          <w:sz w:val="20"/>
          <w:szCs w:val="20"/>
          <w:lang w:val="en-US" w:bidi="en-US"/>
          <w14:ligatures w14:val="none"/>
        </w:rPr>
      </w:r>
    </w:p>
    <w:tbl>
      <w:tblPr>
        <w:tblStyle w:val="780"/>
        <w:tblW w:w="9598" w:type="dxa"/>
        <w:jc w:val="start"/>
        <w:tblInd w:w="0" w:type="dxa"/>
        <w:tblLayout w:type="fixed"/>
        <w:tblCellMar>
          <w:top w:w="15" w:type="dxa"/>
          <w:start w:w="15" w:type="dxa"/>
          <w:bottom w:w="15" w:type="dxa"/>
          <w:end w:w="15" w:type="dxa"/>
        </w:tblCellMar>
        <w:tblLook w:noHBand="0" w:noVBand="1" w:firstColumn="1" w:lastRow="0" w:lastColumn="0" w:firstRow="1" w:val="04a0"/>
      </w:tblPr>
      <w:tblGrid>
        <w:gridCol w:w="8213"/>
        <w:gridCol w:w="281"/>
        <w:gridCol w:w="268"/>
        <w:gridCol w:w="284"/>
        <w:gridCol w:w="265"/>
        <w:gridCol w:w="287"/>
      </w:tblGrid>
      <w:tr>
        <w:trPr>
          <w:tblHeader w:val="true"/>
          <w:trHeight w:val="262" w:hRule="atLeast"/>
        </w:trPr>
        <w:tc>
          <w:tcPr>
            <w:tcW w:w="8213" w:type="dxa"/>
            <w:tcBorders/>
            <w:vAlign w:val="center"/>
          </w:tcPr>
          <w:p>
            <w:pPr>
              <w:pStyle w:val="Normal"/>
              <w:widowControl/>
              <w:spacing w:lineRule="auto" w:line="240" w:before="0" w:after="0"/>
              <w:jc w:val="center"/>
              <w:rPr>
                <w:sz w:val="20"/>
                <w:szCs w:val="20"/>
              </w:rPr>
            </w:pPr>
            <w:r>
              <w:rPr>
                <w:rFonts w:eastAsia="Times New Roman" w:cs="Times New Roman"/>
                <w:b/>
                <w:color w:val="000000"/>
                <w:kern w:val="0"/>
                <w:sz w:val="20"/>
                <w:szCs w:val="20"/>
              </w:rPr>
              <w:t>F: Advocacy and coherence</w:t>
            </w:r>
          </w:p>
        </w:tc>
        <w:tc>
          <w:tcPr>
            <w:tcW w:w="281"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1</w:t>
            </w:r>
          </w:p>
        </w:tc>
        <w:tc>
          <w:tcPr>
            <w:tcW w:w="268"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2</w:t>
            </w:r>
          </w:p>
        </w:tc>
        <w:tc>
          <w:tcPr>
            <w:tcW w:w="284"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3</w:t>
            </w:r>
          </w:p>
        </w:tc>
        <w:tc>
          <w:tcPr>
            <w:tcW w:w="265"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4</w:t>
            </w:r>
          </w:p>
        </w:tc>
        <w:tc>
          <w:tcPr>
            <w:tcW w:w="287" w:type="dxa"/>
            <w:tcBorders/>
            <w:vAlign w:val="center"/>
          </w:tcPr>
          <w:p>
            <w:pPr>
              <w:pStyle w:val="Normal"/>
              <w:widowControl/>
              <w:spacing w:lineRule="auto" w:line="240" w:before="0" w:after="0"/>
              <w:jc w:val="center"/>
              <w:rPr>
                <w:sz w:val="16"/>
                <w:szCs w:val="16"/>
              </w:rPr>
            </w:pPr>
            <w:r>
              <w:rPr>
                <w:rFonts w:eastAsia="Times New Roman" w:cs="Times New Roman"/>
                <w:b/>
                <w:color w:val="000000"/>
                <w:kern w:val="0"/>
                <w:sz w:val="20"/>
                <w:szCs w:val="20"/>
              </w:rPr>
              <w:t>5</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26 I advocate for environmental sustainability within my organisation and professional community.</w:t>
            </w:r>
          </w:p>
        </w:tc>
        <w:tc>
          <w:tcPr>
            <w:tcW w:w="281"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w:t>
            </w:r>
          </w:p>
        </w:tc>
      </w:tr>
      <w:tr>
        <w:trPr>
          <w:trHeight w:val="646" w:hRule="atLeast"/>
        </w:trPr>
        <w:tc>
          <w:tcPr>
            <w:tcW w:w="8213" w:type="dxa"/>
            <w:tcBorders/>
            <w:vAlign w:val="center"/>
          </w:tcPr>
          <w:p>
            <w:pPr>
              <w:pStyle w:val="Normal"/>
              <w:widowControl/>
              <w:spacing w:lineRule="auto" w:line="240" w:before="0" w:after="0"/>
              <w:jc w:val="start"/>
              <w:rPr>
                <w:sz w:val="16"/>
                <w:szCs w:val="16"/>
              </w:rPr>
            </w:pPr>
            <w:r>
              <w:rPr>
                <w:rFonts w:eastAsia="Times New Roman" w:cs="Times New Roman"/>
                <w:color w:val="000000"/>
                <w:kern w:val="0"/>
                <w:sz w:val="20"/>
                <w:szCs w:val="20"/>
              </w:rPr>
              <w:t xml:space="preserve">27 I collaborate with colleagues and peers to promote sustainability in career development </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646" w:hRule="atLeast"/>
        </w:trPr>
        <w:tc>
          <w:tcPr>
            <w:tcW w:w="8213" w:type="dxa"/>
            <w:tcBorders/>
            <w:vAlign w:val="center"/>
          </w:tcPr>
          <w:p>
            <w:pPr>
              <w:pStyle w:val="Normal"/>
              <w:spacing w:lineRule="auto" w:line="240"/>
              <w:rPr>
                <w:rFonts w:eastAsia="Times New Roman" w:cs="Times New Roman"/>
                <w:color w:val="000000"/>
                <w:sz w:val="20"/>
                <w:szCs w:val="20"/>
              </w:rPr>
            </w:pPr>
            <w:r>
              <w:rPr>
                <w:rFonts w:eastAsia="Times New Roman" w:cs="Times New Roman"/>
                <w:color w:val="000000"/>
                <w:sz w:val="20"/>
                <w:szCs w:val="20"/>
              </w:rPr>
              <w:t xml:space="preserve">28 I contribute to policy discussions or networks related to sustainable career guidance </w:t>
            </w:r>
            <w:r>
              <w:rPr>
                <w:rFonts w:eastAsia="Times New Roman" w:cs="Times New Roman"/>
                <w:color w:val="000000"/>
                <w:kern w:val="0"/>
                <w:sz w:val="20"/>
                <w:szCs w:val="20"/>
              </w:rPr>
              <w:t>(collaboration with associations, networks, companies, regulatory bodies, policy makers...)</w:t>
            </w:r>
            <w:r>
              <w:rPr>
                <w:rFonts w:eastAsia="Times New Roman" w:cs="Times New Roman"/>
                <w:color w:val="000000"/>
                <w:sz w:val="20"/>
                <w:szCs w:val="20"/>
              </w:rPr>
              <w:t>.</w:t>
            </w:r>
          </w:p>
        </w:tc>
        <w:tc>
          <w:tcPr>
            <w:tcW w:w="281"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20"/>
                <w:szCs w:val="20"/>
              </w:rPr>
            </w:pPr>
            <w:r>
              <w:rPr>
                <w:rFonts w:eastAsia="Times New Roman" w:cs="Times New Roman"/>
                <w:color w:val="000000"/>
                <w:kern w:val="0"/>
                <w:sz w:val="20"/>
                <w:szCs w:val="20"/>
              </w:rPr>
              <w:t>☐</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29 I incorporate sustainable practices into my personal and professional life.</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526" w:hRule="atLeast"/>
        </w:trPr>
        <w:tc>
          <w:tcPr>
            <w:tcW w:w="8213" w:type="dxa"/>
            <w:tcBorders/>
            <w:vAlign w:val="center"/>
          </w:tcPr>
          <w:p>
            <w:pPr>
              <w:pStyle w:val="Normal"/>
              <w:widowControl/>
              <w:spacing w:lineRule="auto" w:line="240" w:before="0" w:after="0"/>
              <w:jc w:val="start"/>
              <w:rPr>
                <w:sz w:val="20"/>
                <w:szCs w:val="20"/>
              </w:rPr>
            </w:pPr>
            <w:r>
              <w:rPr>
                <w:rFonts w:eastAsia="Times New Roman" w:cs="Times New Roman"/>
                <w:color w:val="000000"/>
                <w:kern w:val="0"/>
                <w:sz w:val="20"/>
                <w:szCs w:val="20"/>
              </w:rPr>
              <w:t>30 I engage in collective initiatives (local/regional/national/international) on environmental crisis, social justice, and systemic change.</w:t>
            </w:r>
          </w:p>
        </w:tc>
        <w:tc>
          <w:tcPr>
            <w:tcW w:w="281"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8"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4"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65"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c>
          <w:tcPr>
            <w:tcW w:w="287" w:type="dxa"/>
            <w:tcBorders/>
            <w:vAlign w:val="center"/>
          </w:tcPr>
          <w:p>
            <w:pPr>
              <w:pStyle w:val="Normal"/>
              <w:widowControl/>
              <w:suppressLineNumbers w:val="0"/>
              <w:spacing w:lineRule="auto" w:line="240" w:before="0" w:afterAutospacing="0" w:after="0"/>
              <w:ind w:end="0"/>
              <w:jc w:val="start"/>
              <w:rPr>
                <w:sz w:val="16"/>
                <w:szCs w:val="16"/>
              </w:rPr>
            </w:pPr>
            <w:r>
              <w:rPr>
                <w:rFonts w:eastAsia="Times New Roman" w:cs="Times New Roman"/>
                <w:color w:val="000000"/>
                <w:kern w:val="0"/>
                <w:sz w:val="20"/>
                <w:szCs w:val="20"/>
              </w:rPr>
              <w:t>☐</w:t>
            </w:r>
          </w:p>
        </w:tc>
      </w:tr>
      <w:tr>
        <w:trPr>
          <w:trHeight w:val="2106" w:hRule="atLeast"/>
        </w:trPr>
        <w:tc>
          <w:tcPr>
            <w:tcW w:w="9598" w:type="dxa"/>
            <w:gridSpan w:val="6"/>
            <w:tcBorders/>
            <w:vAlign w:val="center"/>
          </w:tcPr>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Total score (4-20):</w:t>
            </w:r>
          </w:p>
          <w:p>
            <w:pPr>
              <w:pStyle w:val="Normal"/>
              <w:widowControl/>
              <w:spacing w:lineRule="auto" w:line="240" w:beforeAutospacing="0" w:before="0" w:afterAutospacing="0" w:after="0"/>
              <w:jc w:val="start"/>
              <w:rPr>
                <w:sz w:val="20"/>
                <w:szCs w:val="20"/>
              </w:rPr>
            </w:pPr>
            <w:r>
              <w:rPr>
                <w:rFonts w:eastAsia="Times New Roman" w:cs="Times New Roman"/>
                <w:color w:val="000000"/>
                <w:kern w:val="0"/>
                <w:sz w:val="20"/>
                <w:szCs w:val="20"/>
              </w:rPr>
              <w:t>Priorities (next 3 months):</w:t>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p>
            <w:pPr>
              <w:pStyle w:val="Normal"/>
              <w:widowControl/>
              <w:suppressLineNumbers w:val="0"/>
              <w:spacing w:lineRule="auto" w:line="240" w:before="0" w:afterAutospacing="0" w:after="0"/>
              <w:ind w:end="0"/>
              <w:jc w:val="start"/>
              <w:rPr>
                <w:rFonts w:ascii="Times New Roman" w:hAnsi="Times New Roman" w:eastAsia="Times New Roman" w:cs="Times New Roman"/>
                <w:color w:val="000000"/>
                <w:sz w:val="20"/>
                <w:szCs w:val="20"/>
              </w:rPr>
            </w:pPr>
            <w:r>
              <w:rPr>
                <w:rFonts w:eastAsia="Times New Roman" w:cs="Times New Roman"/>
                <w:color w:val="000000"/>
                <w:sz w:val="20"/>
                <w:szCs w:val="20"/>
              </w:rPr>
            </w:r>
          </w:p>
        </w:tc>
      </w:tr>
    </w:tbl>
    <w:p>
      <w:pPr>
        <w:pStyle w:val="Standard"/>
        <w:rPr>
          <w:bCs/>
          <w:i/>
          <w:szCs w:val="20"/>
          <w:lang w:val="en-US"/>
          <w14:ligatures w14:val="none"/>
        </w:rPr>
      </w:pPr>
      <w:r>
        <w:rPr>
          <w:i/>
          <w:iCs/>
          <w:sz w:val="20"/>
          <w:szCs w:val="20"/>
          <w:lang w:val="en-US" w:bidi="en-US"/>
        </w:rPr>
        <w:t xml:space="preserve">Available resources </w:t>
      </w:r>
      <w:r>
        <w:rPr>
          <w:i/>
          <w:iCs/>
          <w:sz w:val="20"/>
          <w:szCs w:val="32"/>
          <w:lang w:val="en-US" w:bidi="en-US"/>
        </w:rPr>
        <w:t xml:space="preserve"> (non-exhaustive)</w:t>
      </w:r>
      <w:r>
        <w:rPr>
          <w:i/>
          <w:iCs/>
          <w:sz w:val="20"/>
          <w:szCs w:val="20"/>
          <w:lang w:val="en-US" w:bidi="en-US"/>
        </w:rPr>
        <w:t xml:space="preserve">: </w:t>
      </w:r>
    </w:p>
    <w:p>
      <w:pPr>
        <w:pStyle w:val="Standard"/>
        <w:numPr>
          <w:ilvl w:val="0"/>
          <w:numId w:val="6"/>
        </w:numPr>
        <w:rPr>
          <w:b w:val="false"/>
          <w:bCs w:val="false"/>
          <w:i w:val="false"/>
          <w:szCs w:val="20"/>
          <w:highlight w:val="none"/>
          <w:lang w:val="en-US"/>
          <w14:ligatures w14:val="none"/>
        </w:rPr>
      </w:pPr>
      <w:r>
        <w:rPr>
          <w:b w:val="false"/>
          <w:bCs w:val="false"/>
          <w:i w:val="false"/>
          <w:iCs w:val="false"/>
          <w:sz w:val="20"/>
          <w:szCs w:val="20"/>
          <w:lang w:val="en-US" w:bidi="en-US"/>
        </w:rPr>
        <w:t xml:space="preserve">Individual carbon footprint and individual behaviour (but be aware of the systemic nature of the ecological crisis): </w:t>
      </w:r>
      <w:hyperlink r:id="rId24">
        <w:r>
          <w:rPr>
            <w:rStyle w:val="Hyperlink"/>
            <w:b w:val="false"/>
            <w:bCs w:val="false"/>
            <w:i w:val="false"/>
            <w:iCs w:val="false"/>
            <w:sz w:val="20"/>
            <w:szCs w:val="20"/>
            <w:lang w:val="en-US" w:bidi="en-US"/>
          </w:rPr>
          <w:t>https://nosgestesclimat.fr/en</w:t>
        </w:r>
      </w:hyperlink>
    </w:p>
    <w:p>
      <w:pPr>
        <w:pStyle w:val="Standard"/>
        <w:numPr>
          <w:ilvl w:val="0"/>
          <w:numId w:val="6"/>
        </w:numPr>
        <w:rPr>
          <w:b w:val="false"/>
          <w:bCs w:val="false"/>
          <w:i w:val="false"/>
          <w:szCs w:val="20"/>
          <w:highlight w:val="none"/>
          <w:lang w:val="en-US"/>
          <w14:ligatures w14:val="none"/>
        </w:rPr>
      </w:pPr>
      <w:r>
        <w:rPr>
          <w:b w:val="false"/>
          <w:bCs w:val="false"/>
          <w:i w:val="false"/>
          <w:iCs w:val="false"/>
          <w:sz w:val="20"/>
          <w:szCs w:val="20"/>
          <w:lang w:val="en-US" w:bidi="en-US"/>
        </w:rPr>
        <w:t xml:space="preserve">Your existing local and national initiatives (labour unions, climate initiatives, food coops...) </w:t>
      </w:r>
    </w:p>
    <w:p>
      <w:pPr>
        <w:pStyle w:val="Standard"/>
        <w:numPr>
          <w:ilvl w:val="0"/>
          <w:numId w:val="6"/>
        </w:numPr>
        <w:rPr>
          <w:b w:val="false"/>
          <w:bCs w:val="false"/>
          <w:i w:val="false"/>
          <w:szCs w:val="20"/>
          <w:highlight w:val="none"/>
          <w:lang w:val="en-US"/>
          <w14:ligatures w14:val="none"/>
        </w:rPr>
      </w:pPr>
      <w:r>
        <w:rPr>
          <w:b w:val="false"/>
          <w:bCs w:val="false"/>
          <w:i w:val="false"/>
          <w:iCs w:val="false"/>
          <w:sz w:val="20"/>
          <w:szCs w:val="20"/>
          <w:lang w:val="en-US" w:bidi="en-US"/>
        </w:rPr>
        <w:t xml:space="preserve">10 steps to advocacy tool: </w:t>
      </w:r>
      <w:hyperlink r:id="rId25">
        <w:r>
          <w:rPr>
            <w:rStyle w:val="Hyperlink"/>
            <w:b w:val="false"/>
            <w:bCs w:val="false"/>
            <w:i w:val="false"/>
            <w:iCs w:val="false"/>
            <w:sz w:val="20"/>
            <w:szCs w:val="20"/>
            <w:lang w:val="en-US" w:bidi="en-US"/>
          </w:rPr>
          <w:t>https://www.green-guidance.eu/methodology/10-steps-to-advocacy/</w:t>
        </w:r>
      </w:hyperlink>
    </w:p>
    <w:p>
      <w:pPr>
        <w:pStyle w:val="Standard"/>
        <w:numPr>
          <w:ilvl w:val="0"/>
          <w:numId w:val="6"/>
        </w:numPr>
        <w:rPr>
          <w:b w:val="false"/>
          <w:bCs w:val="false"/>
          <w:i w:val="false"/>
          <w:szCs w:val="20"/>
          <w:highlight w:val="none"/>
          <w:lang w:val="en-US"/>
          <w14:ligatures w14:val="none"/>
        </w:rPr>
      </w:pPr>
      <w:r>
        <w:rPr>
          <w:b w:val="false"/>
          <w:bCs w:val="false"/>
          <w:i w:val="false"/>
          <w:iCs w:val="false"/>
          <w:sz w:val="20"/>
          <w:szCs w:val="20"/>
          <w:lang w:val="en-US" w:bidi="en-US"/>
        </w:rPr>
        <w:t>Chapter 6 of the Green Guidance Handbook: How do I do green guidance? Systemic approaches</w:t>
      </w:r>
    </w:p>
    <w:p>
      <w:pPr>
        <w:pStyle w:val="Standard"/>
        <w:rPr>
          <w:b w:val="false"/>
          <w:bCs w:val="false"/>
          <w:i w:val="false"/>
          <w:szCs w:val="20"/>
          <w:highlight w:val="none"/>
          <w:lang w:val="en-US"/>
          <w14:ligatures w14:val="none"/>
        </w:rPr>
      </w:pPr>
      <w:r>
        <w:rPr>
          <w:b w:val="false"/>
          <w:bCs w:val="false"/>
          <w:i w:val="false"/>
          <w:iCs w:val="false"/>
          <w:sz w:val="20"/>
          <w:szCs w:val="20"/>
          <w:lang w:val="en-US" w:bidi="en-US"/>
          <w14:ligatures w14:val="none"/>
        </w:rPr>
      </w:r>
    </w:p>
    <w:p>
      <w:pPr>
        <w:pStyle w:val="Standard"/>
        <w:rPr>
          <w:b w:val="false"/>
          <w:bCs w:val="false"/>
          <w:i w:val="false"/>
          <w:szCs w:val="20"/>
          <w:highlight w:val="none"/>
          <w:lang w:val="en-US"/>
          <w14:ligatures w14:val="none"/>
        </w:rPr>
      </w:pPr>
      <w:r>
        <w:rPr>
          <w:b w:val="false"/>
          <w:bCs w:val="false"/>
          <w:i w:val="false"/>
          <w:iCs w:val="false"/>
          <w:sz w:val="20"/>
          <w:szCs w:val="20"/>
          <w:lang w:val="en-US" w:bidi="en-US"/>
          <w14:ligatures w14:val="none"/>
        </w:rPr>
      </w:r>
    </w:p>
    <w:p>
      <w:pPr>
        <w:pStyle w:val="Standard"/>
        <w:rPr>
          <w:b w:val="false"/>
          <w:bCs w:val="false"/>
          <w:i w:val="false"/>
          <w:szCs w:val="20"/>
          <w:highlight w:val="none"/>
          <w:lang w:val="en-US"/>
          <w14:ligatures w14:val="none"/>
        </w:rPr>
      </w:pPr>
      <w:r>
        <w:rPr>
          <w:b w:val="false"/>
          <w:bCs w:val="false"/>
          <w:i w:val="false"/>
          <w:iCs w:val="false"/>
          <w:sz w:val="20"/>
          <w:szCs w:val="20"/>
          <w:lang w:val="en-US" w:bidi="en-US"/>
          <w14:ligatures w14:val="none"/>
        </w:rPr>
      </w:r>
    </w:p>
    <w:p>
      <w:pPr>
        <w:pStyle w:val="Standard"/>
        <w:rPr>
          <w:b w:val="false"/>
          <w:bCs w:val="false"/>
          <w:i w:val="false"/>
          <w:szCs w:val="20"/>
          <w:highlight w:val="none"/>
          <w:lang w:val="en-US"/>
          <w14:ligatures w14:val="none"/>
        </w:rPr>
      </w:pPr>
      <w:r>
        <w:rPr>
          <w:b w:val="false"/>
          <w:bCs w:val="false"/>
          <w:i w:val="false"/>
          <w:iCs w:val="false"/>
          <w:sz w:val="20"/>
          <w:szCs w:val="20"/>
          <w:lang w:val="en-US" w:bidi="en-US"/>
          <w14:ligatures w14:val="none"/>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r>
    </w:p>
    <w:p>
      <w:pPr>
        <w:pStyle w:val="Normal"/>
        <w:rPr>
          <w:sz w:val="20"/>
          <w:szCs w:val="20"/>
          <w:highlight w:val="none"/>
          <w:lang w:val="en-US"/>
        </w:rPr>
      </w:pPr>
      <w:r>
        <w:rPr>
          <w:sz w:val="20"/>
          <w:szCs w:val="20"/>
          <w:lang w:val="en-US"/>
        </w:rPr>
        <w:drawing>
          <wp:inline distT="0" distB="0" distL="0" distR="0">
            <wp:extent cx="2091055" cy="439420"/>
            <wp:effectExtent l="0" t="0" r="0" b="0"/>
            <wp:docPr id="1" name="Picture 1" descr="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lue text on a white background&#10;&#10;Description automatically generated"/>
                    <pic:cNvPicPr>
                      <a:picLocks noChangeAspect="1" noChangeArrowheads="1"/>
                    </pic:cNvPicPr>
                  </pic:nvPicPr>
                  <pic:blipFill>
                    <a:blip r:embed="rId26"/>
                    <a:stretch>
                      <a:fillRect/>
                    </a:stretch>
                  </pic:blipFill>
                  <pic:spPr bwMode="auto">
                    <a:xfrm>
                      <a:off x="0" y="0"/>
                      <a:ext cx="2091055" cy="439420"/>
                    </a:xfrm>
                    <a:prstGeom prst="rect">
                      <a:avLst/>
                    </a:prstGeom>
                    <a:noFill/>
                  </pic:spPr>
                </pic:pic>
              </a:graphicData>
            </a:graphic>
          </wp:inline>
        </w:drawing>
      </w:r>
    </w:p>
    <w:p>
      <w:pPr>
        <w:pStyle w:val="Normal"/>
        <w:rPr>
          <w:sz w:val="20"/>
          <w:szCs w:val="20"/>
          <w:highlight w:val="none"/>
          <w:lang w:val="en-US"/>
        </w:rPr>
      </w:pPr>
      <w:r>
        <w:rPr>
          <w:sz w:val="20"/>
          <w:szCs w:val="20"/>
          <w:lang w:val="en-US"/>
        </w:rPr>
        <w:t>This tool</w:t>
      </w:r>
      <w:r>
        <w:rPr>
          <w:sz w:val="20"/>
          <w:szCs w:val="20"/>
          <w:lang w:val="en-US"/>
        </w:rPr>
        <w:t xml:space="preserve"> is co-funded by the European Union. Views and opinions expressed in this document are those of the author(s) only and do not necessarily reflect those of the European Union, SAAIC or any of the partner organisations. Neither the European Union nor the granting authority can be held responsible for them.</w:t>
      </w:r>
    </w:p>
    <w:sectPr>
      <w:headerReference w:type="even" r:id="rId27"/>
      <w:headerReference w:type="default" r:id="rId28"/>
      <w:headerReference w:type="first" r:id="rId29"/>
      <w:type w:val="nextPage"/>
      <w:pgSz w:w="11906" w:h="16838"/>
      <w:pgMar w:left="1134" w:right="1134" w:gutter="0" w:header="1134" w:top="1191"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Arial">
    <w:charset w:val="01" w:characterSet="utf-8"/>
    <w:family w:val="swiss"/>
    <w:pitch w:val="variable"/>
  </w:font>
  <w:font w:name="OpenSymbol">
    <w:altName w:val="Arial Unicode MS"/>
    <w:charset w:val="01" w:characterSet="utf-8"/>
    <w:family w:val="roman"/>
    <w:pitch w:val="variable"/>
  </w:font>
  <w:font w:name="Liberation Sans">
    <w:altName w:val="Arial"/>
    <w:charset w:val="01" w:characterSet="utf-8"/>
    <w:family w:val="swiss"/>
    <w:pitch w:val="variable"/>
  </w:font>
  <w:font w:name="Noto Sans Devanagari">
    <w:charset w:val="01" w:characterSet="utf-8"/>
    <w:family w:val="roman"/>
    <w:pitch w:val="variable"/>
  </w:font>
  <w:font w:name="Courier New">
    <w:charset w:val="01"/>
    <w:family w:val="modern"/>
    <w:pitch w:val="fixed"/>
  </w:font>
  <w:font w:name="Wingdings">
    <w:charset w:val="02"/>
    <w:family w:val="auto"/>
    <w:pitch w:val="default"/>
  </w:font>
  <w:font w:name="Symbol">
    <w:charset w:val="02"/>
    <w:family w:val="auto"/>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tLeast" w:line="276" w:before="274" w:after="0"/>
      <w:ind w:hanging="0" w:start="0" w:end="0"/>
      <w:rPr/>
    </w:pPr>
    <w:r>
      <w:drawing>
        <wp:anchor distT="0" distB="0" distL="0" distR="0" simplePos="0" relativeHeight="5" behindDoc="1" locked="0" layoutInCell="1" allowOverlap="1">
          <wp:simplePos x="0" y="0"/>
          <wp:positionH relativeFrom="column">
            <wp:posOffset>4986655</wp:posOffset>
          </wp:positionH>
          <wp:positionV relativeFrom="paragraph">
            <wp:posOffset>635</wp:posOffset>
          </wp:positionV>
          <wp:extent cx="1009650" cy="428625"/>
          <wp:effectExtent l="0" t="0" r="0" b="0"/>
          <wp:wrapNone/>
          <wp:docPr id="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pic:cNvPicPr>
                    <a:picLocks noChangeAspect="1" noChangeArrowheads="1"/>
                  </pic:cNvPicPr>
                </pic:nvPicPr>
                <pic:blipFill>
                  <a:blip r:embed="rId1"/>
                  <a:stretch>
                    <a:fillRect/>
                  </a:stretch>
                </pic:blipFill>
                <pic:spPr bwMode="auto">
                  <a:xfrm>
                    <a:off x="0" y="0"/>
                    <a:ext cx="1009650" cy="428625"/>
                  </a:xfrm>
                  <a:prstGeom prst="rect">
                    <a:avLst/>
                  </a:prstGeom>
                  <a:noFill/>
                </pic:spPr>
              </pic:pic>
            </a:graphicData>
          </a:graphic>
        </wp:anchor>
      </w:drawing>
    </w:r>
    <w:r>
      <w:rPr>
        <w:rFonts w:eastAsia="Liberation Sans" w:cs="Liberation Sans" w:ascii="Liberation Sans" w:hAnsi="Liberation Sans"/>
        <w:color w:val="51DC00"/>
        <w:sz w:val="20"/>
      </w:rPr>
      <w:t>www.green-guidance.eu</w:t>
    </w:r>
  </w:p>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tLeast" w:line="276" w:before="274" w:after="0"/>
      <w:ind w:hanging="0" w:start="0" w:end="0"/>
      <w:rPr/>
    </w:pPr>
    <w:r>
      <w:drawing>
        <wp:anchor distT="0" distB="0" distL="0" distR="0" simplePos="0" relativeHeight="5" behindDoc="1" locked="0" layoutInCell="1" allowOverlap="1">
          <wp:simplePos x="0" y="0"/>
          <wp:positionH relativeFrom="column">
            <wp:posOffset>4986655</wp:posOffset>
          </wp:positionH>
          <wp:positionV relativeFrom="paragraph">
            <wp:posOffset>635</wp:posOffset>
          </wp:positionV>
          <wp:extent cx="1009650" cy="428625"/>
          <wp:effectExtent l="0" t="0" r="0" b="0"/>
          <wp:wrapNone/>
          <wp:docPr id="3"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pic:cNvPicPr>
                    <a:picLocks noChangeAspect="1" noChangeArrowheads="1"/>
                  </pic:cNvPicPr>
                </pic:nvPicPr>
                <pic:blipFill>
                  <a:blip r:embed="rId1"/>
                  <a:stretch>
                    <a:fillRect/>
                  </a:stretch>
                </pic:blipFill>
                <pic:spPr bwMode="auto">
                  <a:xfrm>
                    <a:off x="0" y="0"/>
                    <a:ext cx="1009650" cy="428625"/>
                  </a:xfrm>
                  <a:prstGeom prst="rect">
                    <a:avLst/>
                  </a:prstGeom>
                  <a:noFill/>
                </pic:spPr>
              </pic:pic>
            </a:graphicData>
          </a:graphic>
        </wp:anchor>
      </w:drawing>
    </w:r>
    <w:r>
      <w:rPr>
        <w:rFonts w:eastAsia="Liberation Sans" w:cs="Liberation Sans" w:ascii="Liberation Sans" w:hAnsi="Liberation Sans"/>
        <w:color w:val="51DC00"/>
        <w:sz w:val="20"/>
      </w:rPr>
      <w:t>www.green-guidance.eu</w:t>
    </w:r>
  </w:p>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isLgl/>
      <w:lvlText w:val="–"/>
      <w:lvlJc w:val="start"/>
      <w:pPr>
        <w:tabs>
          <w:tab w:val="num" w:pos="0"/>
        </w:tabs>
        <w:ind w:start="709" w:hanging="360"/>
      </w:pPr>
      <w:rPr>
        <w:rFonts w:ascii="Arial" w:hAnsi="Arial" w:cs="Arial" w:hint="default"/>
      </w:rPr>
    </w:lvl>
    <w:lvl w:ilvl="1">
      <w:start w:val="1"/>
      <w:numFmt w:val="bullet"/>
      <w:isLgl/>
      <w:lvlText w:val="o"/>
      <w:lvlJc w:val="start"/>
      <w:pPr>
        <w:tabs>
          <w:tab w:val="num" w:pos="0"/>
        </w:tabs>
        <w:ind w:start="1429" w:hanging="360"/>
      </w:pPr>
      <w:rPr>
        <w:rFonts w:ascii="Courier New" w:hAnsi="Courier New" w:cs="Courier New" w:hint="default"/>
      </w:rPr>
    </w:lvl>
    <w:lvl w:ilvl="2">
      <w:start w:val="1"/>
      <w:numFmt w:val="bullet"/>
      <w:isLgl/>
      <w:lvlText w:val="§"/>
      <w:lvlJc w:val="start"/>
      <w:pPr>
        <w:tabs>
          <w:tab w:val="num" w:pos="0"/>
        </w:tabs>
        <w:ind w:start="2149" w:hanging="360"/>
      </w:pPr>
      <w:rPr>
        <w:rFonts w:ascii="Wingdings" w:hAnsi="Wingdings" w:cs="Wingdings" w:hint="default"/>
      </w:rPr>
    </w:lvl>
    <w:lvl w:ilvl="3">
      <w:start w:val="1"/>
      <w:numFmt w:val="bullet"/>
      <w:isLgl/>
      <w:lvlText w:val="·"/>
      <w:lvlJc w:val="start"/>
      <w:pPr>
        <w:tabs>
          <w:tab w:val="num" w:pos="0"/>
        </w:tabs>
        <w:ind w:start="2869" w:hanging="360"/>
      </w:pPr>
      <w:rPr>
        <w:rFonts w:ascii="Symbol" w:hAnsi="Symbol" w:cs="Symbol" w:hint="default"/>
      </w:rPr>
    </w:lvl>
    <w:lvl w:ilvl="4">
      <w:start w:val="1"/>
      <w:numFmt w:val="bullet"/>
      <w:isLgl/>
      <w:lvlText w:val="o"/>
      <w:lvlJc w:val="start"/>
      <w:pPr>
        <w:tabs>
          <w:tab w:val="num" w:pos="0"/>
        </w:tabs>
        <w:ind w:start="3589" w:hanging="360"/>
      </w:pPr>
      <w:rPr>
        <w:rFonts w:ascii="Courier New" w:hAnsi="Courier New" w:cs="Courier New" w:hint="default"/>
      </w:rPr>
    </w:lvl>
    <w:lvl w:ilvl="5">
      <w:start w:val="1"/>
      <w:numFmt w:val="bullet"/>
      <w:isLgl/>
      <w:lvlText w:val="§"/>
      <w:lvlJc w:val="start"/>
      <w:pPr>
        <w:tabs>
          <w:tab w:val="num" w:pos="0"/>
        </w:tabs>
        <w:ind w:start="4309" w:hanging="360"/>
      </w:pPr>
      <w:rPr>
        <w:rFonts w:ascii="Wingdings" w:hAnsi="Wingdings" w:cs="Wingdings" w:hint="default"/>
      </w:rPr>
    </w:lvl>
    <w:lvl w:ilvl="6">
      <w:start w:val="1"/>
      <w:numFmt w:val="bullet"/>
      <w:isLgl/>
      <w:lvlText w:val="·"/>
      <w:lvlJc w:val="start"/>
      <w:pPr>
        <w:tabs>
          <w:tab w:val="num" w:pos="0"/>
        </w:tabs>
        <w:ind w:start="5029" w:hanging="360"/>
      </w:pPr>
      <w:rPr>
        <w:rFonts w:ascii="Symbol" w:hAnsi="Symbol" w:cs="Symbol" w:hint="default"/>
      </w:rPr>
    </w:lvl>
    <w:lvl w:ilvl="7">
      <w:start w:val="1"/>
      <w:numFmt w:val="bullet"/>
      <w:isLgl/>
      <w:lvlText w:val="o"/>
      <w:lvlJc w:val="start"/>
      <w:pPr>
        <w:tabs>
          <w:tab w:val="num" w:pos="0"/>
        </w:tabs>
        <w:ind w:start="5749" w:hanging="360"/>
      </w:pPr>
      <w:rPr>
        <w:rFonts w:ascii="Courier New" w:hAnsi="Courier New" w:cs="Courier New" w:hint="default"/>
      </w:rPr>
    </w:lvl>
    <w:lvl w:ilvl="8">
      <w:start w:val="1"/>
      <w:numFmt w:val="bullet"/>
      <w:isLgl/>
      <w:lvlText w:val="§"/>
      <w:lvlJc w:val="start"/>
      <w:pPr>
        <w:tabs>
          <w:tab w:val="num" w:pos="0"/>
        </w:tabs>
        <w:ind w:start="6469" w:hanging="360"/>
      </w:pPr>
      <w:rPr>
        <w:rFonts w:ascii="Wingdings" w:hAnsi="Wingdings" w:cs="Wingdings" w:hint="default"/>
      </w:rPr>
    </w:lvl>
  </w:abstractNum>
  <w:abstractNum w:abstractNumId="2">
    <w:lvl w:ilvl="0">
      <w:start w:val="1"/>
      <w:numFmt w:val="bullet"/>
      <w:isLgl/>
      <w:lvlText w:val="–"/>
      <w:lvlJc w:val="start"/>
      <w:pPr>
        <w:tabs>
          <w:tab w:val="num" w:pos="0"/>
        </w:tabs>
        <w:ind w:start="709" w:hanging="360"/>
      </w:pPr>
      <w:rPr>
        <w:rFonts w:ascii="Arial" w:hAnsi="Arial" w:cs="Arial" w:hint="default"/>
      </w:rPr>
    </w:lvl>
    <w:lvl w:ilvl="1">
      <w:start w:val="1"/>
      <w:numFmt w:val="bullet"/>
      <w:isLgl/>
      <w:lvlText w:val="o"/>
      <w:lvlJc w:val="start"/>
      <w:pPr>
        <w:tabs>
          <w:tab w:val="num" w:pos="0"/>
        </w:tabs>
        <w:ind w:start="1429" w:hanging="360"/>
      </w:pPr>
      <w:rPr>
        <w:rFonts w:ascii="Courier New" w:hAnsi="Courier New" w:cs="Courier New" w:hint="default"/>
      </w:rPr>
    </w:lvl>
    <w:lvl w:ilvl="2">
      <w:start w:val="1"/>
      <w:numFmt w:val="bullet"/>
      <w:isLgl/>
      <w:lvlText w:val="§"/>
      <w:lvlJc w:val="start"/>
      <w:pPr>
        <w:tabs>
          <w:tab w:val="num" w:pos="0"/>
        </w:tabs>
        <w:ind w:start="2149" w:hanging="360"/>
      </w:pPr>
      <w:rPr>
        <w:rFonts w:ascii="Wingdings" w:hAnsi="Wingdings" w:cs="Wingdings" w:hint="default"/>
      </w:rPr>
    </w:lvl>
    <w:lvl w:ilvl="3">
      <w:start w:val="1"/>
      <w:numFmt w:val="bullet"/>
      <w:isLgl/>
      <w:lvlText w:val="·"/>
      <w:lvlJc w:val="start"/>
      <w:pPr>
        <w:tabs>
          <w:tab w:val="num" w:pos="0"/>
        </w:tabs>
        <w:ind w:start="2869" w:hanging="360"/>
      </w:pPr>
      <w:rPr>
        <w:rFonts w:ascii="Symbol" w:hAnsi="Symbol" w:cs="Symbol" w:hint="default"/>
      </w:rPr>
    </w:lvl>
    <w:lvl w:ilvl="4">
      <w:start w:val="1"/>
      <w:numFmt w:val="bullet"/>
      <w:isLgl/>
      <w:lvlText w:val="o"/>
      <w:lvlJc w:val="start"/>
      <w:pPr>
        <w:tabs>
          <w:tab w:val="num" w:pos="0"/>
        </w:tabs>
        <w:ind w:start="3589" w:hanging="360"/>
      </w:pPr>
      <w:rPr>
        <w:rFonts w:ascii="Courier New" w:hAnsi="Courier New" w:cs="Courier New" w:hint="default"/>
      </w:rPr>
    </w:lvl>
    <w:lvl w:ilvl="5">
      <w:start w:val="1"/>
      <w:numFmt w:val="bullet"/>
      <w:isLgl/>
      <w:lvlText w:val="§"/>
      <w:lvlJc w:val="start"/>
      <w:pPr>
        <w:tabs>
          <w:tab w:val="num" w:pos="0"/>
        </w:tabs>
        <w:ind w:start="4309" w:hanging="360"/>
      </w:pPr>
      <w:rPr>
        <w:rFonts w:ascii="Wingdings" w:hAnsi="Wingdings" w:cs="Wingdings" w:hint="default"/>
      </w:rPr>
    </w:lvl>
    <w:lvl w:ilvl="6">
      <w:start w:val="1"/>
      <w:numFmt w:val="bullet"/>
      <w:isLgl/>
      <w:lvlText w:val="·"/>
      <w:lvlJc w:val="start"/>
      <w:pPr>
        <w:tabs>
          <w:tab w:val="num" w:pos="0"/>
        </w:tabs>
        <w:ind w:start="5029" w:hanging="360"/>
      </w:pPr>
      <w:rPr>
        <w:rFonts w:ascii="Symbol" w:hAnsi="Symbol" w:cs="Symbol" w:hint="default"/>
      </w:rPr>
    </w:lvl>
    <w:lvl w:ilvl="7">
      <w:start w:val="1"/>
      <w:numFmt w:val="bullet"/>
      <w:isLgl/>
      <w:lvlText w:val="o"/>
      <w:lvlJc w:val="start"/>
      <w:pPr>
        <w:tabs>
          <w:tab w:val="num" w:pos="0"/>
        </w:tabs>
        <w:ind w:start="5749" w:hanging="360"/>
      </w:pPr>
      <w:rPr>
        <w:rFonts w:ascii="Courier New" w:hAnsi="Courier New" w:cs="Courier New" w:hint="default"/>
      </w:rPr>
    </w:lvl>
    <w:lvl w:ilvl="8">
      <w:start w:val="1"/>
      <w:numFmt w:val="bullet"/>
      <w:isLgl/>
      <w:lvlText w:val="§"/>
      <w:lvlJc w:val="start"/>
      <w:pPr>
        <w:tabs>
          <w:tab w:val="num" w:pos="0"/>
        </w:tabs>
        <w:ind w:start="6469" w:hanging="360"/>
      </w:pPr>
      <w:rPr>
        <w:rFonts w:ascii="Wingdings" w:hAnsi="Wingdings" w:cs="Wingdings" w:hint="default"/>
      </w:rPr>
    </w:lvl>
  </w:abstractNum>
  <w:abstractNum w:abstractNumId="3">
    <w:lvl w:ilvl="0">
      <w:start w:val="1"/>
      <w:numFmt w:val="bullet"/>
      <w:isLgl/>
      <w:lvlText w:val="–"/>
      <w:lvlJc w:val="start"/>
      <w:pPr>
        <w:tabs>
          <w:tab w:val="num" w:pos="0"/>
        </w:tabs>
        <w:ind w:start="709" w:hanging="360"/>
      </w:pPr>
      <w:rPr>
        <w:rFonts w:ascii="Arial" w:hAnsi="Arial" w:cs="Arial" w:hint="default"/>
      </w:rPr>
    </w:lvl>
    <w:lvl w:ilvl="1">
      <w:start w:val="1"/>
      <w:numFmt w:val="bullet"/>
      <w:isLgl/>
      <w:lvlText w:val="o"/>
      <w:lvlJc w:val="start"/>
      <w:pPr>
        <w:tabs>
          <w:tab w:val="num" w:pos="0"/>
        </w:tabs>
        <w:ind w:start="1429" w:hanging="360"/>
      </w:pPr>
      <w:rPr>
        <w:rFonts w:ascii="Courier New" w:hAnsi="Courier New" w:cs="Courier New" w:hint="default"/>
      </w:rPr>
    </w:lvl>
    <w:lvl w:ilvl="2">
      <w:start w:val="1"/>
      <w:numFmt w:val="bullet"/>
      <w:isLgl/>
      <w:lvlText w:val="§"/>
      <w:lvlJc w:val="start"/>
      <w:pPr>
        <w:tabs>
          <w:tab w:val="num" w:pos="0"/>
        </w:tabs>
        <w:ind w:start="2149" w:hanging="360"/>
      </w:pPr>
      <w:rPr>
        <w:rFonts w:ascii="Wingdings" w:hAnsi="Wingdings" w:cs="Wingdings" w:hint="default"/>
      </w:rPr>
    </w:lvl>
    <w:lvl w:ilvl="3">
      <w:start w:val="1"/>
      <w:numFmt w:val="bullet"/>
      <w:isLgl/>
      <w:lvlText w:val="·"/>
      <w:lvlJc w:val="start"/>
      <w:pPr>
        <w:tabs>
          <w:tab w:val="num" w:pos="0"/>
        </w:tabs>
        <w:ind w:start="2869" w:hanging="360"/>
      </w:pPr>
      <w:rPr>
        <w:rFonts w:ascii="Symbol" w:hAnsi="Symbol" w:cs="Symbol" w:hint="default"/>
      </w:rPr>
    </w:lvl>
    <w:lvl w:ilvl="4">
      <w:start w:val="1"/>
      <w:numFmt w:val="bullet"/>
      <w:isLgl/>
      <w:lvlText w:val="o"/>
      <w:lvlJc w:val="start"/>
      <w:pPr>
        <w:tabs>
          <w:tab w:val="num" w:pos="0"/>
        </w:tabs>
        <w:ind w:start="3589" w:hanging="360"/>
      </w:pPr>
      <w:rPr>
        <w:rFonts w:ascii="Courier New" w:hAnsi="Courier New" w:cs="Courier New" w:hint="default"/>
      </w:rPr>
    </w:lvl>
    <w:lvl w:ilvl="5">
      <w:start w:val="1"/>
      <w:numFmt w:val="bullet"/>
      <w:isLgl/>
      <w:lvlText w:val="§"/>
      <w:lvlJc w:val="start"/>
      <w:pPr>
        <w:tabs>
          <w:tab w:val="num" w:pos="0"/>
        </w:tabs>
        <w:ind w:start="4309" w:hanging="360"/>
      </w:pPr>
      <w:rPr>
        <w:rFonts w:ascii="Wingdings" w:hAnsi="Wingdings" w:cs="Wingdings" w:hint="default"/>
      </w:rPr>
    </w:lvl>
    <w:lvl w:ilvl="6">
      <w:start w:val="1"/>
      <w:numFmt w:val="bullet"/>
      <w:isLgl/>
      <w:lvlText w:val="·"/>
      <w:lvlJc w:val="start"/>
      <w:pPr>
        <w:tabs>
          <w:tab w:val="num" w:pos="0"/>
        </w:tabs>
        <w:ind w:start="5029" w:hanging="360"/>
      </w:pPr>
      <w:rPr>
        <w:rFonts w:ascii="Symbol" w:hAnsi="Symbol" w:cs="Symbol" w:hint="default"/>
      </w:rPr>
    </w:lvl>
    <w:lvl w:ilvl="7">
      <w:start w:val="1"/>
      <w:numFmt w:val="bullet"/>
      <w:isLgl/>
      <w:lvlText w:val="o"/>
      <w:lvlJc w:val="start"/>
      <w:pPr>
        <w:tabs>
          <w:tab w:val="num" w:pos="0"/>
        </w:tabs>
        <w:ind w:start="5749" w:hanging="360"/>
      </w:pPr>
      <w:rPr>
        <w:rFonts w:ascii="Courier New" w:hAnsi="Courier New" w:cs="Courier New" w:hint="default"/>
      </w:rPr>
    </w:lvl>
    <w:lvl w:ilvl="8">
      <w:start w:val="1"/>
      <w:numFmt w:val="bullet"/>
      <w:isLgl/>
      <w:lvlText w:val="§"/>
      <w:lvlJc w:val="start"/>
      <w:pPr>
        <w:tabs>
          <w:tab w:val="num" w:pos="0"/>
        </w:tabs>
        <w:ind w:start="6469" w:hanging="360"/>
      </w:pPr>
      <w:rPr>
        <w:rFonts w:ascii="Wingdings" w:hAnsi="Wingdings" w:cs="Wingdings" w:hint="default"/>
      </w:rPr>
    </w:lvl>
  </w:abstractNum>
  <w:abstractNum w:abstractNumId="4">
    <w:lvl w:ilvl="0">
      <w:start w:val="1"/>
      <w:numFmt w:val="bullet"/>
      <w:isLgl/>
      <w:lvlText w:val="–"/>
      <w:lvlJc w:val="start"/>
      <w:pPr>
        <w:tabs>
          <w:tab w:val="num" w:pos="0"/>
        </w:tabs>
        <w:ind w:start="709" w:hanging="360"/>
      </w:pPr>
      <w:rPr>
        <w:rFonts w:ascii="Arial" w:hAnsi="Arial" w:cs="Arial" w:hint="default"/>
      </w:rPr>
    </w:lvl>
    <w:lvl w:ilvl="1">
      <w:start w:val="1"/>
      <w:numFmt w:val="bullet"/>
      <w:isLgl/>
      <w:lvlText w:val="o"/>
      <w:lvlJc w:val="start"/>
      <w:pPr>
        <w:tabs>
          <w:tab w:val="num" w:pos="0"/>
        </w:tabs>
        <w:ind w:start="1429" w:hanging="360"/>
      </w:pPr>
      <w:rPr>
        <w:rFonts w:ascii="Courier New" w:hAnsi="Courier New" w:cs="Courier New" w:hint="default"/>
      </w:rPr>
    </w:lvl>
    <w:lvl w:ilvl="2">
      <w:start w:val="1"/>
      <w:numFmt w:val="bullet"/>
      <w:isLgl/>
      <w:lvlText w:val="§"/>
      <w:lvlJc w:val="start"/>
      <w:pPr>
        <w:tabs>
          <w:tab w:val="num" w:pos="0"/>
        </w:tabs>
        <w:ind w:start="2149" w:hanging="360"/>
      </w:pPr>
      <w:rPr>
        <w:rFonts w:ascii="Wingdings" w:hAnsi="Wingdings" w:cs="Wingdings" w:hint="default"/>
      </w:rPr>
    </w:lvl>
    <w:lvl w:ilvl="3">
      <w:start w:val="1"/>
      <w:numFmt w:val="bullet"/>
      <w:isLgl/>
      <w:lvlText w:val="·"/>
      <w:lvlJc w:val="start"/>
      <w:pPr>
        <w:tabs>
          <w:tab w:val="num" w:pos="0"/>
        </w:tabs>
        <w:ind w:start="2869" w:hanging="360"/>
      </w:pPr>
      <w:rPr>
        <w:rFonts w:ascii="Symbol" w:hAnsi="Symbol" w:cs="Symbol" w:hint="default"/>
      </w:rPr>
    </w:lvl>
    <w:lvl w:ilvl="4">
      <w:start w:val="1"/>
      <w:numFmt w:val="bullet"/>
      <w:isLgl/>
      <w:lvlText w:val="o"/>
      <w:lvlJc w:val="start"/>
      <w:pPr>
        <w:tabs>
          <w:tab w:val="num" w:pos="0"/>
        </w:tabs>
        <w:ind w:start="3589" w:hanging="360"/>
      </w:pPr>
      <w:rPr>
        <w:rFonts w:ascii="Courier New" w:hAnsi="Courier New" w:cs="Courier New" w:hint="default"/>
      </w:rPr>
    </w:lvl>
    <w:lvl w:ilvl="5">
      <w:start w:val="1"/>
      <w:numFmt w:val="bullet"/>
      <w:isLgl/>
      <w:lvlText w:val="§"/>
      <w:lvlJc w:val="start"/>
      <w:pPr>
        <w:tabs>
          <w:tab w:val="num" w:pos="0"/>
        </w:tabs>
        <w:ind w:start="4309" w:hanging="360"/>
      </w:pPr>
      <w:rPr>
        <w:rFonts w:ascii="Wingdings" w:hAnsi="Wingdings" w:cs="Wingdings" w:hint="default"/>
      </w:rPr>
    </w:lvl>
    <w:lvl w:ilvl="6">
      <w:start w:val="1"/>
      <w:numFmt w:val="bullet"/>
      <w:isLgl/>
      <w:lvlText w:val="·"/>
      <w:lvlJc w:val="start"/>
      <w:pPr>
        <w:tabs>
          <w:tab w:val="num" w:pos="0"/>
        </w:tabs>
        <w:ind w:start="5029" w:hanging="360"/>
      </w:pPr>
      <w:rPr>
        <w:rFonts w:ascii="Symbol" w:hAnsi="Symbol" w:cs="Symbol" w:hint="default"/>
      </w:rPr>
    </w:lvl>
    <w:lvl w:ilvl="7">
      <w:start w:val="1"/>
      <w:numFmt w:val="bullet"/>
      <w:isLgl/>
      <w:lvlText w:val="o"/>
      <w:lvlJc w:val="start"/>
      <w:pPr>
        <w:tabs>
          <w:tab w:val="num" w:pos="0"/>
        </w:tabs>
        <w:ind w:start="5749" w:hanging="360"/>
      </w:pPr>
      <w:rPr>
        <w:rFonts w:ascii="Courier New" w:hAnsi="Courier New" w:cs="Courier New" w:hint="default"/>
      </w:rPr>
    </w:lvl>
    <w:lvl w:ilvl="8">
      <w:start w:val="1"/>
      <w:numFmt w:val="bullet"/>
      <w:isLgl/>
      <w:lvlText w:val="§"/>
      <w:lvlJc w:val="start"/>
      <w:pPr>
        <w:tabs>
          <w:tab w:val="num" w:pos="0"/>
        </w:tabs>
        <w:ind w:start="6469" w:hanging="360"/>
      </w:pPr>
      <w:rPr>
        <w:rFonts w:ascii="Wingdings" w:hAnsi="Wingdings" w:cs="Wingdings" w:hint="default"/>
      </w:rPr>
    </w:lvl>
  </w:abstractNum>
  <w:abstractNum w:abstractNumId="5">
    <w:lvl w:ilvl="0">
      <w:start w:val="1"/>
      <w:numFmt w:val="bullet"/>
      <w:isLgl/>
      <w:lvlText w:val="–"/>
      <w:lvlJc w:val="start"/>
      <w:pPr>
        <w:tabs>
          <w:tab w:val="num" w:pos="0"/>
        </w:tabs>
        <w:ind w:start="709" w:hanging="360"/>
      </w:pPr>
      <w:rPr>
        <w:rFonts w:ascii="Arial" w:hAnsi="Arial" w:cs="Arial" w:hint="default"/>
      </w:rPr>
    </w:lvl>
    <w:lvl w:ilvl="1">
      <w:start w:val="1"/>
      <w:numFmt w:val="bullet"/>
      <w:isLgl/>
      <w:lvlText w:val="o"/>
      <w:lvlJc w:val="start"/>
      <w:pPr>
        <w:tabs>
          <w:tab w:val="num" w:pos="0"/>
        </w:tabs>
        <w:ind w:start="1429" w:hanging="360"/>
      </w:pPr>
      <w:rPr>
        <w:rFonts w:ascii="Courier New" w:hAnsi="Courier New" w:cs="Courier New" w:hint="default"/>
      </w:rPr>
    </w:lvl>
    <w:lvl w:ilvl="2">
      <w:start w:val="1"/>
      <w:numFmt w:val="bullet"/>
      <w:isLgl/>
      <w:lvlText w:val="§"/>
      <w:lvlJc w:val="start"/>
      <w:pPr>
        <w:tabs>
          <w:tab w:val="num" w:pos="0"/>
        </w:tabs>
        <w:ind w:start="2149" w:hanging="360"/>
      </w:pPr>
      <w:rPr>
        <w:rFonts w:ascii="Wingdings" w:hAnsi="Wingdings" w:cs="Wingdings" w:hint="default"/>
      </w:rPr>
    </w:lvl>
    <w:lvl w:ilvl="3">
      <w:start w:val="1"/>
      <w:numFmt w:val="bullet"/>
      <w:isLgl/>
      <w:lvlText w:val="·"/>
      <w:lvlJc w:val="start"/>
      <w:pPr>
        <w:tabs>
          <w:tab w:val="num" w:pos="0"/>
        </w:tabs>
        <w:ind w:start="2869" w:hanging="360"/>
      </w:pPr>
      <w:rPr>
        <w:rFonts w:ascii="Symbol" w:hAnsi="Symbol" w:cs="Symbol" w:hint="default"/>
      </w:rPr>
    </w:lvl>
    <w:lvl w:ilvl="4">
      <w:start w:val="1"/>
      <w:numFmt w:val="bullet"/>
      <w:isLgl/>
      <w:lvlText w:val="o"/>
      <w:lvlJc w:val="start"/>
      <w:pPr>
        <w:tabs>
          <w:tab w:val="num" w:pos="0"/>
        </w:tabs>
        <w:ind w:start="3589" w:hanging="360"/>
      </w:pPr>
      <w:rPr>
        <w:rFonts w:ascii="Courier New" w:hAnsi="Courier New" w:cs="Courier New" w:hint="default"/>
      </w:rPr>
    </w:lvl>
    <w:lvl w:ilvl="5">
      <w:start w:val="1"/>
      <w:numFmt w:val="bullet"/>
      <w:isLgl/>
      <w:lvlText w:val="§"/>
      <w:lvlJc w:val="start"/>
      <w:pPr>
        <w:tabs>
          <w:tab w:val="num" w:pos="0"/>
        </w:tabs>
        <w:ind w:start="4309" w:hanging="360"/>
      </w:pPr>
      <w:rPr>
        <w:rFonts w:ascii="Wingdings" w:hAnsi="Wingdings" w:cs="Wingdings" w:hint="default"/>
      </w:rPr>
    </w:lvl>
    <w:lvl w:ilvl="6">
      <w:start w:val="1"/>
      <w:numFmt w:val="bullet"/>
      <w:isLgl/>
      <w:lvlText w:val="·"/>
      <w:lvlJc w:val="start"/>
      <w:pPr>
        <w:tabs>
          <w:tab w:val="num" w:pos="0"/>
        </w:tabs>
        <w:ind w:start="5029" w:hanging="360"/>
      </w:pPr>
      <w:rPr>
        <w:rFonts w:ascii="Symbol" w:hAnsi="Symbol" w:cs="Symbol" w:hint="default"/>
      </w:rPr>
    </w:lvl>
    <w:lvl w:ilvl="7">
      <w:start w:val="1"/>
      <w:numFmt w:val="bullet"/>
      <w:isLgl/>
      <w:lvlText w:val="o"/>
      <w:lvlJc w:val="start"/>
      <w:pPr>
        <w:tabs>
          <w:tab w:val="num" w:pos="0"/>
        </w:tabs>
        <w:ind w:start="5749" w:hanging="360"/>
      </w:pPr>
      <w:rPr>
        <w:rFonts w:ascii="Courier New" w:hAnsi="Courier New" w:cs="Courier New" w:hint="default"/>
      </w:rPr>
    </w:lvl>
    <w:lvl w:ilvl="8">
      <w:start w:val="1"/>
      <w:numFmt w:val="bullet"/>
      <w:isLgl/>
      <w:lvlText w:val="§"/>
      <w:lvlJc w:val="start"/>
      <w:pPr>
        <w:tabs>
          <w:tab w:val="num" w:pos="0"/>
        </w:tabs>
        <w:ind w:start="6469" w:hanging="360"/>
      </w:pPr>
      <w:rPr>
        <w:rFonts w:ascii="Wingdings" w:hAnsi="Wingdings" w:cs="Wingdings" w:hint="default"/>
      </w:rPr>
    </w:lvl>
  </w:abstractNum>
  <w:abstractNum w:abstractNumId="6">
    <w:lvl w:ilvl="0">
      <w:start w:val="1"/>
      <w:numFmt w:val="bullet"/>
      <w:isLgl/>
      <w:lvlText w:val="–"/>
      <w:lvlJc w:val="start"/>
      <w:pPr>
        <w:tabs>
          <w:tab w:val="num" w:pos="0"/>
        </w:tabs>
        <w:ind w:start="709" w:hanging="360"/>
      </w:pPr>
      <w:rPr>
        <w:rFonts w:ascii="Arial" w:hAnsi="Arial" w:cs="Arial" w:hint="default"/>
      </w:rPr>
    </w:lvl>
    <w:lvl w:ilvl="1">
      <w:start w:val="1"/>
      <w:numFmt w:val="bullet"/>
      <w:isLgl/>
      <w:lvlText w:val="o"/>
      <w:lvlJc w:val="start"/>
      <w:pPr>
        <w:tabs>
          <w:tab w:val="num" w:pos="0"/>
        </w:tabs>
        <w:ind w:start="1429" w:hanging="360"/>
      </w:pPr>
      <w:rPr>
        <w:rFonts w:ascii="Courier New" w:hAnsi="Courier New" w:cs="Courier New" w:hint="default"/>
      </w:rPr>
    </w:lvl>
    <w:lvl w:ilvl="2">
      <w:start w:val="1"/>
      <w:numFmt w:val="bullet"/>
      <w:isLgl/>
      <w:lvlText w:val="§"/>
      <w:lvlJc w:val="start"/>
      <w:pPr>
        <w:tabs>
          <w:tab w:val="num" w:pos="0"/>
        </w:tabs>
        <w:ind w:start="2149" w:hanging="360"/>
      </w:pPr>
      <w:rPr>
        <w:rFonts w:ascii="Wingdings" w:hAnsi="Wingdings" w:cs="Wingdings" w:hint="default"/>
      </w:rPr>
    </w:lvl>
    <w:lvl w:ilvl="3">
      <w:start w:val="1"/>
      <w:numFmt w:val="bullet"/>
      <w:isLgl/>
      <w:lvlText w:val="·"/>
      <w:lvlJc w:val="start"/>
      <w:pPr>
        <w:tabs>
          <w:tab w:val="num" w:pos="0"/>
        </w:tabs>
        <w:ind w:start="2869" w:hanging="360"/>
      </w:pPr>
      <w:rPr>
        <w:rFonts w:ascii="Symbol" w:hAnsi="Symbol" w:cs="Symbol" w:hint="default"/>
      </w:rPr>
    </w:lvl>
    <w:lvl w:ilvl="4">
      <w:start w:val="1"/>
      <w:numFmt w:val="bullet"/>
      <w:isLgl/>
      <w:lvlText w:val="o"/>
      <w:lvlJc w:val="start"/>
      <w:pPr>
        <w:tabs>
          <w:tab w:val="num" w:pos="0"/>
        </w:tabs>
        <w:ind w:start="3589" w:hanging="360"/>
      </w:pPr>
      <w:rPr>
        <w:rFonts w:ascii="Courier New" w:hAnsi="Courier New" w:cs="Courier New" w:hint="default"/>
      </w:rPr>
    </w:lvl>
    <w:lvl w:ilvl="5">
      <w:start w:val="1"/>
      <w:numFmt w:val="bullet"/>
      <w:isLgl/>
      <w:lvlText w:val="§"/>
      <w:lvlJc w:val="start"/>
      <w:pPr>
        <w:tabs>
          <w:tab w:val="num" w:pos="0"/>
        </w:tabs>
        <w:ind w:start="4309" w:hanging="360"/>
      </w:pPr>
      <w:rPr>
        <w:rFonts w:ascii="Wingdings" w:hAnsi="Wingdings" w:cs="Wingdings" w:hint="default"/>
      </w:rPr>
    </w:lvl>
    <w:lvl w:ilvl="6">
      <w:start w:val="1"/>
      <w:numFmt w:val="bullet"/>
      <w:isLgl/>
      <w:lvlText w:val="·"/>
      <w:lvlJc w:val="start"/>
      <w:pPr>
        <w:tabs>
          <w:tab w:val="num" w:pos="0"/>
        </w:tabs>
        <w:ind w:start="5029" w:hanging="360"/>
      </w:pPr>
      <w:rPr>
        <w:rFonts w:ascii="Symbol" w:hAnsi="Symbol" w:cs="Symbol" w:hint="default"/>
      </w:rPr>
    </w:lvl>
    <w:lvl w:ilvl="7">
      <w:start w:val="1"/>
      <w:numFmt w:val="bullet"/>
      <w:isLgl/>
      <w:lvlText w:val="o"/>
      <w:lvlJc w:val="start"/>
      <w:pPr>
        <w:tabs>
          <w:tab w:val="num" w:pos="0"/>
        </w:tabs>
        <w:ind w:start="5749" w:hanging="360"/>
      </w:pPr>
      <w:rPr>
        <w:rFonts w:ascii="Courier New" w:hAnsi="Courier New" w:cs="Courier New" w:hint="default"/>
      </w:rPr>
    </w:lvl>
    <w:lvl w:ilvl="8">
      <w:start w:val="1"/>
      <w:numFmt w:val="bullet"/>
      <w:isLgl/>
      <w:lvlText w:val="§"/>
      <w:lvlJc w:val="start"/>
      <w:pPr>
        <w:tabs>
          <w:tab w:val="num" w:pos="0"/>
        </w:tabs>
        <w:ind w:start="6469" w:hanging="360"/>
      </w:pPr>
      <w:rPr>
        <w:rFonts w:ascii="Wingdings" w:hAnsi="Wingdings" w:cs="Wingdings" w:hint="default"/>
      </w:rPr>
    </w:lvl>
  </w:abstractNum>
  <w:abstractNum w:abstractNumId="7">
    <w:lvl w:ilvl="0">
      <w:start w:val="1"/>
      <w:numFmt w:val="bullet"/>
      <w:isLgl/>
      <w:lvlText w:val="–"/>
      <w:lvlJc w:val="start"/>
      <w:pPr>
        <w:tabs>
          <w:tab w:val="num" w:pos="0"/>
        </w:tabs>
        <w:ind w:start="709" w:hanging="360"/>
      </w:pPr>
      <w:rPr>
        <w:rFonts w:ascii="Arial" w:hAnsi="Arial" w:cs="Arial" w:hint="default"/>
      </w:rPr>
    </w:lvl>
    <w:lvl w:ilvl="1">
      <w:start w:val="1"/>
      <w:numFmt w:val="bullet"/>
      <w:isLgl/>
      <w:lvlText w:val="o"/>
      <w:lvlJc w:val="start"/>
      <w:pPr>
        <w:tabs>
          <w:tab w:val="num" w:pos="0"/>
        </w:tabs>
        <w:ind w:start="1429" w:hanging="360"/>
      </w:pPr>
      <w:rPr>
        <w:rFonts w:ascii="Courier New" w:hAnsi="Courier New" w:cs="Courier New" w:hint="default"/>
      </w:rPr>
    </w:lvl>
    <w:lvl w:ilvl="2">
      <w:start w:val="1"/>
      <w:numFmt w:val="bullet"/>
      <w:isLgl/>
      <w:lvlText w:val="§"/>
      <w:lvlJc w:val="start"/>
      <w:pPr>
        <w:tabs>
          <w:tab w:val="num" w:pos="0"/>
        </w:tabs>
        <w:ind w:start="2149" w:hanging="360"/>
      </w:pPr>
      <w:rPr>
        <w:rFonts w:ascii="Wingdings" w:hAnsi="Wingdings" w:cs="Wingdings" w:hint="default"/>
      </w:rPr>
    </w:lvl>
    <w:lvl w:ilvl="3">
      <w:start w:val="1"/>
      <w:numFmt w:val="bullet"/>
      <w:isLgl/>
      <w:lvlText w:val="·"/>
      <w:lvlJc w:val="start"/>
      <w:pPr>
        <w:tabs>
          <w:tab w:val="num" w:pos="0"/>
        </w:tabs>
        <w:ind w:start="2869" w:hanging="360"/>
      </w:pPr>
      <w:rPr>
        <w:rFonts w:ascii="Symbol" w:hAnsi="Symbol" w:cs="Symbol" w:hint="default"/>
      </w:rPr>
    </w:lvl>
    <w:lvl w:ilvl="4">
      <w:start w:val="1"/>
      <w:numFmt w:val="bullet"/>
      <w:isLgl/>
      <w:lvlText w:val="o"/>
      <w:lvlJc w:val="start"/>
      <w:pPr>
        <w:tabs>
          <w:tab w:val="num" w:pos="0"/>
        </w:tabs>
        <w:ind w:start="3589" w:hanging="360"/>
      </w:pPr>
      <w:rPr>
        <w:rFonts w:ascii="Courier New" w:hAnsi="Courier New" w:cs="Courier New" w:hint="default"/>
      </w:rPr>
    </w:lvl>
    <w:lvl w:ilvl="5">
      <w:start w:val="1"/>
      <w:numFmt w:val="bullet"/>
      <w:isLgl/>
      <w:lvlText w:val="§"/>
      <w:lvlJc w:val="start"/>
      <w:pPr>
        <w:tabs>
          <w:tab w:val="num" w:pos="0"/>
        </w:tabs>
        <w:ind w:start="4309" w:hanging="360"/>
      </w:pPr>
      <w:rPr>
        <w:rFonts w:ascii="Wingdings" w:hAnsi="Wingdings" w:cs="Wingdings" w:hint="default"/>
      </w:rPr>
    </w:lvl>
    <w:lvl w:ilvl="6">
      <w:start w:val="1"/>
      <w:numFmt w:val="bullet"/>
      <w:isLgl/>
      <w:lvlText w:val="·"/>
      <w:lvlJc w:val="start"/>
      <w:pPr>
        <w:tabs>
          <w:tab w:val="num" w:pos="0"/>
        </w:tabs>
        <w:ind w:start="5029" w:hanging="360"/>
      </w:pPr>
      <w:rPr>
        <w:rFonts w:ascii="Symbol" w:hAnsi="Symbol" w:cs="Symbol" w:hint="default"/>
      </w:rPr>
    </w:lvl>
    <w:lvl w:ilvl="7">
      <w:start w:val="1"/>
      <w:numFmt w:val="bullet"/>
      <w:isLgl/>
      <w:lvlText w:val="o"/>
      <w:lvlJc w:val="start"/>
      <w:pPr>
        <w:tabs>
          <w:tab w:val="num" w:pos="0"/>
        </w:tabs>
        <w:ind w:start="5749" w:hanging="360"/>
      </w:pPr>
      <w:rPr>
        <w:rFonts w:ascii="Courier New" w:hAnsi="Courier New" w:cs="Courier New" w:hint="default"/>
      </w:rPr>
    </w:lvl>
    <w:lvl w:ilvl="8">
      <w:start w:val="1"/>
      <w:numFmt w:val="bullet"/>
      <w:isLgl/>
      <w:lvlText w:val="§"/>
      <w:lvlJc w:val="start"/>
      <w:pPr>
        <w:tabs>
          <w:tab w:val="num" w:pos="0"/>
        </w:tabs>
        <w:ind w:start="6469" w:hanging="360"/>
      </w:pPr>
      <w:rPr>
        <w:rFonts w:ascii="Wingdings" w:hAnsi="Wingdings" w:cs="Wingdings" w:hint="default"/>
      </w:rPr>
    </w:lvl>
  </w:abstractNum>
  <w:abstractNum w:abstractNumId="8">
    <w:lvl w:ilvl="0">
      <w:start w:val="1"/>
      <w:numFmt w:val="decimal"/>
      <w:isLgl/>
      <w:lvlText w:val="%1."/>
      <w:lvlJc w:val="end"/>
      <w:pPr>
        <w:tabs>
          <w:tab w:val="num" w:pos="0"/>
        </w:tabs>
        <w:ind w:start="709" w:hanging="360"/>
      </w:pPr>
      <w:rPr/>
    </w:lvl>
    <w:lvl w:ilvl="1">
      <w:start w:val="1"/>
      <w:numFmt w:val="decimal"/>
      <w:isLgl/>
      <w:lvlText w:val="%2."/>
      <w:lvlJc w:val="end"/>
      <w:pPr>
        <w:tabs>
          <w:tab w:val="num" w:pos="0"/>
        </w:tabs>
        <w:ind w:start="1429" w:hanging="360"/>
      </w:pPr>
      <w:rPr/>
    </w:lvl>
    <w:lvl w:ilvl="2">
      <w:start w:val="1"/>
      <w:numFmt w:val="decimal"/>
      <w:isLgl/>
      <w:lvlText w:val="%3."/>
      <w:lvlJc w:val="end"/>
      <w:pPr>
        <w:tabs>
          <w:tab w:val="num" w:pos="0"/>
        </w:tabs>
        <w:ind w:start="2149" w:hanging="360"/>
      </w:pPr>
      <w:rPr/>
    </w:lvl>
    <w:lvl w:ilvl="3">
      <w:start w:val="1"/>
      <w:numFmt w:val="decimal"/>
      <w:isLgl/>
      <w:lvlText w:val="%4."/>
      <w:lvlJc w:val="end"/>
      <w:pPr>
        <w:tabs>
          <w:tab w:val="num" w:pos="0"/>
        </w:tabs>
        <w:ind w:start="2869" w:hanging="360"/>
      </w:pPr>
      <w:rPr/>
    </w:lvl>
    <w:lvl w:ilvl="4">
      <w:start w:val="1"/>
      <w:numFmt w:val="decimal"/>
      <w:isLgl/>
      <w:lvlText w:val="%5."/>
      <w:lvlJc w:val="end"/>
      <w:pPr>
        <w:tabs>
          <w:tab w:val="num" w:pos="0"/>
        </w:tabs>
        <w:ind w:start="3589" w:hanging="360"/>
      </w:pPr>
      <w:rPr/>
    </w:lvl>
    <w:lvl w:ilvl="5">
      <w:start w:val="1"/>
      <w:numFmt w:val="decimal"/>
      <w:isLgl/>
      <w:lvlText w:val="%6."/>
      <w:lvlJc w:val="end"/>
      <w:pPr>
        <w:tabs>
          <w:tab w:val="num" w:pos="0"/>
        </w:tabs>
        <w:ind w:start="4309" w:hanging="360"/>
      </w:pPr>
      <w:rPr/>
    </w:lvl>
    <w:lvl w:ilvl="6">
      <w:start w:val="1"/>
      <w:numFmt w:val="decimal"/>
      <w:isLgl/>
      <w:lvlText w:val="%7."/>
      <w:lvlJc w:val="end"/>
      <w:pPr>
        <w:tabs>
          <w:tab w:val="num" w:pos="0"/>
        </w:tabs>
        <w:ind w:start="5029" w:hanging="360"/>
      </w:pPr>
      <w:rPr/>
    </w:lvl>
    <w:lvl w:ilvl="7">
      <w:start w:val="1"/>
      <w:numFmt w:val="decimal"/>
      <w:isLgl/>
      <w:lvlText w:val="%8."/>
      <w:lvlJc w:val="end"/>
      <w:pPr>
        <w:tabs>
          <w:tab w:val="num" w:pos="0"/>
        </w:tabs>
        <w:ind w:start="5749" w:hanging="360"/>
      </w:pPr>
      <w:rPr/>
    </w:lvl>
    <w:lvl w:ilvl="8">
      <w:start w:val="1"/>
      <w:numFmt w:val="decimal"/>
      <w:isLgl/>
      <w:lvlText w:val="%9."/>
      <w:lvlJc w:val="end"/>
      <w:pPr>
        <w:tabs>
          <w:tab w:val="num" w:pos="0"/>
        </w:tabs>
        <w:ind w:start="6469" w:hanging="360"/>
      </w:pPr>
      <w:rPr/>
    </w:lvl>
  </w:abstractNum>
  <w:abstractNum w:abstractNumId="9">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34"/>
  <w:defaultTabStop w:val="709"/>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SC" w:cs="Noto Sans"/>
        <w:lang w:val="en-GB"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start"/>
    </w:pPr>
    <w:rPr>
      <w:rFonts w:ascii="Times New Roman" w:hAnsi="Times New Roman" w:eastAsia="Noto Serif SC" w:cs="Noto Sans"/>
      <w:color w:val="auto"/>
      <w:kern w:val="0"/>
      <w:sz w:val="20"/>
      <w:szCs w:val="20"/>
      <w:lang w:val="en-GB" w:eastAsia="zh-CN" w:bidi="hi-IN"/>
    </w:rPr>
  </w:style>
  <w:style w:type="paragraph" w:styleId="Heading1" w:customStyle="1">
    <w:name w:val="heading 1"/>
    <w:basedOn w:val="Ttulo"/>
    <w:qFormat/>
    <w:pPr>
      <w:numPr>
        <w:ilvl w:val="0"/>
        <w:numId w:val="0"/>
      </w:numPr>
      <w:spacing w:before="240" w:after="120"/>
      <w:outlineLvl w:val="1"/>
    </w:pPr>
    <w:rPr>
      <w:b/>
      <w:bCs/>
      <w:sz w:val="36"/>
      <w:szCs w:val="36"/>
    </w:rPr>
  </w:style>
  <w:style w:type="paragraph" w:styleId="Heading2" w:customStyle="1">
    <w:name w:val="heading 2"/>
    <w:basedOn w:val="Ttulo"/>
    <w:qFormat/>
    <w:pPr>
      <w:numPr>
        <w:ilvl w:val="0"/>
        <w:numId w:val="0"/>
      </w:numPr>
      <w:spacing w:before="200" w:after="120"/>
      <w:outlineLvl w:val="2"/>
    </w:pPr>
    <w:rPr>
      <w:b/>
      <w:bCs/>
      <w:sz w:val="32"/>
      <w:szCs w:val="32"/>
    </w:rPr>
  </w:style>
  <w:style w:type="paragraph" w:styleId="Heading3">
    <w:name w:val="heading 3"/>
    <w:basedOn w:val="Normal"/>
    <w:uiPriority w:val="9"/>
    <w:unhideWhenUsed/>
    <w:qFormat/>
    <w:pPr>
      <w:keepNext w:val="true"/>
      <w:keepLines/>
      <w:spacing w:before="160" w:after="80"/>
      <w:outlineLvl w:val="2"/>
    </w:pPr>
    <w:rPr>
      <w:rFonts w:ascii="Arial" w:hAnsi="Arial" w:eastAsia="Arial" w:cs="Arial"/>
      <w:color w:themeColor="accent1" w:themeShade="bf" w:val="0F4761"/>
      <w:sz w:val="28"/>
      <w:szCs w:val="28"/>
    </w:rPr>
  </w:style>
  <w:style w:type="paragraph" w:styleId="Heading4">
    <w:name w:val="heading 4"/>
    <w:basedOn w:val="Normal"/>
    <w:uiPriority w:val="9"/>
    <w:unhideWhenUsed/>
    <w:qFormat/>
    <w:pPr>
      <w:keepNext w:val="true"/>
      <w:keepLines/>
      <w:spacing w:before="80" w:after="40"/>
      <w:outlineLvl w:val="3"/>
    </w:pPr>
    <w:rPr>
      <w:rFonts w:ascii="Arial" w:hAnsi="Arial" w:eastAsia="Arial" w:cs="Arial"/>
      <w:i/>
      <w:iCs/>
      <w:color w:themeColor="accent1" w:themeShade="bf" w:val="0F4761"/>
    </w:rPr>
  </w:style>
  <w:style w:type="paragraph" w:styleId="Heading5">
    <w:name w:val="heading 5"/>
    <w:basedOn w:val="Normal"/>
    <w:uiPriority w:val="9"/>
    <w:unhideWhenUsed/>
    <w:qFormat/>
    <w:pPr>
      <w:keepNext w:val="true"/>
      <w:keepLines/>
      <w:spacing w:before="80" w:after="40"/>
      <w:outlineLvl w:val="4"/>
    </w:pPr>
    <w:rPr>
      <w:rFonts w:ascii="Arial" w:hAnsi="Arial" w:eastAsia="Arial" w:cs="Arial"/>
      <w:color w:themeColor="accent1" w:themeShade="bf" w:val="0F4761"/>
    </w:rPr>
  </w:style>
  <w:style w:type="paragraph" w:styleId="Heading6">
    <w:name w:val="heading 6"/>
    <w:basedOn w:val="Normal"/>
    <w:uiPriority w:val="9"/>
    <w:unhideWhenUsed/>
    <w:qFormat/>
    <w:pPr>
      <w:keepNext w:val="true"/>
      <w:keepLines/>
      <w:spacing w:before="40" w:after="0"/>
      <w:outlineLvl w:val="5"/>
    </w:pPr>
    <w:rPr>
      <w:rFonts w:ascii="Arial" w:hAnsi="Arial" w:eastAsia="Arial" w:cs="Arial"/>
      <w:i/>
      <w:iCs/>
      <w:color w:themeColor="text1" w:themeTint="a6" w:val="595959"/>
    </w:rPr>
  </w:style>
  <w:style w:type="paragraph" w:styleId="Heading7">
    <w:name w:val="heading 7"/>
    <w:basedOn w:val="Normal"/>
    <w:uiPriority w:val="9"/>
    <w:unhideWhenUsed/>
    <w:qFormat/>
    <w:pPr>
      <w:keepNext w:val="true"/>
      <w:keepLines/>
      <w:spacing w:before="40" w:after="0"/>
      <w:outlineLvl w:val="6"/>
    </w:pPr>
    <w:rPr>
      <w:rFonts w:ascii="Arial" w:hAnsi="Arial" w:eastAsia="Arial" w:cs="Arial"/>
      <w:color w:themeColor="text1" w:themeTint="a6" w:val="595959"/>
    </w:rPr>
  </w:style>
  <w:style w:type="paragraph" w:styleId="Heading8">
    <w:name w:val="heading 8"/>
    <w:basedOn w:val="Normal"/>
    <w:uiPriority w:val="9"/>
    <w:unhideWhenUsed/>
    <w:qFormat/>
    <w:pPr>
      <w:keepNext w:val="true"/>
      <w:keepLines/>
      <w:spacing w:before="0" w:after="0"/>
      <w:outlineLvl w:val="7"/>
    </w:pPr>
    <w:rPr>
      <w:rFonts w:ascii="Arial" w:hAnsi="Arial" w:eastAsia="Arial" w:cs="Arial"/>
      <w:i/>
      <w:iCs/>
      <w:color w:themeColor="text1" w:themeTint="d8" w:val="272727"/>
    </w:rPr>
  </w:style>
  <w:style w:type="paragraph" w:styleId="Heading9">
    <w:name w:val="heading 9"/>
    <w:basedOn w:val="Normal"/>
    <w:uiPriority w:val="9"/>
    <w:unhideWhenUsed/>
    <w:qFormat/>
    <w:pPr>
      <w:keepNext w:val="true"/>
      <w:keepLines/>
      <w:spacing w:before="0" w:after="0"/>
      <w:outlineLvl w:val="8"/>
    </w:pPr>
    <w:rPr>
      <w:rFonts w:ascii="Arial" w:hAnsi="Arial" w:eastAsia="Arial" w:cs="Arial"/>
      <w:i/>
      <w:iCs/>
      <w:color w:themeColor="text1" w:themeTint="d8" w:val="272727"/>
    </w:rPr>
  </w:style>
  <w:style w:type="character" w:styleId="DefaultParagraphFont" w:default="1">
    <w:name w:val="Default Paragraph Font"/>
    <w:uiPriority w:val="1"/>
    <w:semiHidden/>
    <w:unhideWhenUsed/>
    <w:qFormat/>
    <w:rPr/>
  </w:style>
  <w:style w:type="character" w:styleId="Heading1Char">
    <w:name w:val="Heading 1 Char"/>
    <w:basedOn w:val="DefaultParagraphFont"/>
    <w:uiPriority w:val="9"/>
    <w:qFormat/>
    <w:rPr>
      <w:rFonts w:ascii="Arial" w:hAnsi="Arial" w:eastAsia="Arial" w:cs="Arial"/>
      <w:color w:themeColor="accent1" w:themeShade="bf" w:val="0F4761"/>
      <w:sz w:val="40"/>
      <w:szCs w:val="40"/>
    </w:rPr>
  </w:style>
  <w:style w:type="character" w:styleId="Heading2Char">
    <w:name w:val="Heading 2 Char"/>
    <w:basedOn w:val="DefaultParagraphFont"/>
    <w:uiPriority w:val="9"/>
    <w:qFormat/>
    <w:rPr>
      <w:rFonts w:ascii="Arial" w:hAnsi="Arial" w:eastAsia="Arial" w:cs="Arial"/>
      <w:color w:themeColor="accent1" w:themeShade="bf" w:val="0F4761"/>
      <w:sz w:val="32"/>
      <w:szCs w:val="32"/>
    </w:rPr>
  </w:style>
  <w:style w:type="character" w:styleId="Heading3Char">
    <w:name w:val="Heading 3 Char"/>
    <w:basedOn w:val="DefaultParagraphFont"/>
    <w:uiPriority w:val="9"/>
    <w:qFormat/>
    <w:rPr>
      <w:rFonts w:ascii="Arial" w:hAnsi="Arial" w:eastAsia="Arial" w:cs="Arial"/>
      <w:color w:themeColor="accent1" w:themeShade="bf" w:val="0F4761"/>
      <w:sz w:val="28"/>
      <w:szCs w:val="28"/>
    </w:rPr>
  </w:style>
  <w:style w:type="character" w:styleId="Heading4Char">
    <w:name w:val="Heading 4 Char"/>
    <w:basedOn w:val="DefaultParagraphFont"/>
    <w:uiPriority w:val="9"/>
    <w:qFormat/>
    <w:rPr>
      <w:rFonts w:ascii="Arial" w:hAnsi="Arial" w:eastAsia="Arial" w:cs="Arial"/>
      <w:i/>
      <w:iCs/>
      <w:color w:themeColor="accent1" w:themeShade="bf" w:val="0F4761"/>
    </w:rPr>
  </w:style>
  <w:style w:type="character" w:styleId="Heading5Char">
    <w:name w:val="Heading 5 Char"/>
    <w:basedOn w:val="DefaultParagraphFont"/>
    <w:uiPriority w:val="9"/>
    <w:qFormat/>
    <w:rPr>
      <w:rFonts w:ascii="Arial" w:hAnsi="Arial" w:eastAsia="Arial" w:cs="Arial"/>
      <w:color w:themeColor="accent1" w:themeShade="bf" w:val="0F4761"/>
    </w:rPr>
  </w:style>
  <w:style w:type="character" w:styleId="Heading6Char">
    <w:name w:val="Heading 6 Char"/>
    <w:basedOn w:val="DefaultParagraphFont"/>
    <w:uiPriority w:val="9"/>
    <w:qFormat/>
    <w:rPr>
      <w:rFonts w:ascii="Arial" w:hAnsi="Arial" w:eastAsia="Arial" w:cs="Arial"/>
      <w:i/>
      <w:iCs/>
      <w:color w:themeColor="text1" w:themeTint="a6" w:val="595959"/>
    </w:rPr>
  </w:style>
  <w:style w:type="character" w:styleId="Heading7Char">
    <w:name w:val="Heading 7 Char"/>
    <w:basedOn w:val="DefaultParagraphFont"/>
    <w:uiPriority w:val="9"/>
    <w:qFormat/>
    <w:rPr>
      <w:rFonts w:ascii="Arial" w:hAnsi="Arial" w:eastAsia="Arial" w:cs="Arial"/>
      <w:color w:themeColor="text1" w:themeTint="a6" w:val="595959"/>
    </w:rPr>
  </w:style>
  <w:style w:type="character" w:styleId="Heading8Char">
    <w:name w:val="Heading 8 Char"/>
    <w:basedOn w:val="DefaultParagraphFont"/>
    <w:uiPriority w:val="9"/>
    <w:qFormat/>
    <w:rPr>
      <w:rFonts w:ascii="Arial" w:hAnsi="Arial" w:eastAsia="Arial" w:cs="Arial"/>
      <w:i/>
      <w:iCs/>
      <w:color w:themeColor="text1" w:themeTint="d8" w:val="272727"/>
    </w:rPr>
  </w:style>
  <w:style w:type="character" w:styleId="Heading9Char">
    <w:name w:val="Heading 9 Char"/>
    <w:basedOn w:val="DefaultParagraphFont"/>
    <w:uiPriority w:val="9"/>
    <w:qFormat/>
    <w:rPr>
      <w:rFonts w:ascii="Arial" w:hAnsi="Arial" w:eastAsia="Arial" w:cs="Arial"/>
      <w:i/>
      <w:iCs/>
      <w:color w:themeColor="text1" w:themeTint="d8" w:val="272727"/>
    </w:rPr>
  </w:style>
  <w:style w:type="character" w:styleId="TitleChar">
    <w:name w:val="Title Char"/>
    <w:basedOn w:val="DefaultParagraphFont"/>
    <w:uiPriority w:val="10"/>
    <w:qFormat/>
    <w:rPr>
      <w:rFonts w:ascii="Arial" w:hAnsi="Arial" w:eastAsia="Arial" w:cs="Arial"/>
      <w:spacing w:val="-10"/>
      <w:sz w:val="56"/>
      <w:szCs w:val="56"/>
    </w:rPr>
  </w:style>
  <w:style w:type="character" w:styleId="SubtitleChar">
    <w:name w:val="Subtitle Char"/>
    <w:basedOn w:val="DefaultParagraphFont"/>
    <w:uiPriority w:val="11"/>
    <w:qFormat/>
    <w:rPr>
      <w:color w:themeColor="text1" w:themeTint="a6" w:val="595959"/>
      <w:spacing w:val="15"/>
      <w:sz w:val="28"/>
      <w:szCs w:val="28"/>
    </w:rPr>
  </w:style>
  <w:style w:type="character" w:styleId="QuoteChar">
    <w:name w:val="Quote Char"/>
    <w:basedOn w:val="DefaultParagraphFont"/>
    <w:uiPriority w:val="29"/>
    <w:qFormat/>
    <w:rPr>
      <w:i/>
      <w:iCs/>
      <w:color w:themeColor="text1" w:themeTint="bf" w:val="404040"/>
    </w:rPr>
  </w:style>
  <w:style w:type="character" w:styleId="IntenseEmphasis">
    <w:name w:val="Intense Emphasis"/>
    <w:basedOn w:val="DefaultParagraphFont"/>
    <w:uiPriority w:val="21"/>
    <w:qFormat/>
    <w:rPr>
      <w:i/>
      <w:iCs/>
      <w:color w:themeColor="accent1" w:themeShade="bf" w:val="0F4761"/>
    </w:rPr>
  </w:style>
  <w:style w:type="character" w:styleId="IntenseQuoteChar">
    <w:name w:val="Intense Quote Char"/>
    <w:basedOn w:val="DefaultParagraphFont"/>
    <w:uiPriority w:val="30"/>
    <w:qFormat/>
    <w:rPr>
      <w:i/>
      <w:iCs/>
      <w:color w:themeColor="accent1" w:themeShade="bf" w:val="0F4761"/>
    </w:rPr>
  </w:style>
  <w:style w:type="character" w:styleId="IntenseReference">
    <w:name w:val="Intense Reference"/>
    <w:basedOn w:val="DefaultParagraphFont"/>
    <w:uiPriority w:val="32"/>
    <w:qFormat/>
    <w:rPr>
      <w:b/>
      <w:bCs/>
      <w:smallCaps/>
      <w:color w:themeColor="accent1" w:themeShade="bf" w:val="0F4761"/>
      <w:spacing w:val="5"/>
    </w:rPr>
  </w:style>
  <w:style w:type="character" w:styleId="SubtleEmphasis">
    <w:name w:val="Subtle Emphasis"/>
    <w:basedOn w:val="DefaultParagraphFont"/>
    <w:uiPriority w:val="19"/>
    <w:qFormat/>
    <w:rPr>
      <w:i/>
      <w:iCs/>
      <w:color w:themeColor="text1" w:themeTint="bf" w:val="404040"/>
    </w:rPr>
  </w:style>
  <w:style w:type="character" w:styleId="Strong">
    <w:name w:val="Strong"/>
    <w:basedOn w:val="DefaultParagraphFont"/>
    <w:uiPriority w:val="22"/>
    <w:qFormat/>
    <w:rPr>
      <w:b/>
      <w:bCs/>
    </w:rPr>
  </w:style>
  <w:style w:type="character" w:styleId="SubtleReference">
    <w:name w:val="Subtle Reference"/>
    <w:basedOn w:val="DefaultParagraphFont"/>
    <w:uiPriority w:val="31"/>
    <w:qFormat/>
    <w:rPr>
      <w:smallCaps/>
      <w:color w:themeColor="text1" w:themeTint="a5" w:val="5A5A5A"/>
    </w:rPr>
  </w:style>
  <w:style w:type="character" w:styleId="BookTitle">
    <w:name w:val="Book Title"/>
    <w:basedOn w:val="DefaultParagraphFont"/>
    <w:uiPriority w:val="33"/>
    <w:qFormat/>
    <w:rPr>
      <w:b/>
      <w:bCs/>
      <w:i/>
      <w:iCs/>
      <w:spacing w:val="5"/>
    </w:rPr>
  </w:style>
  <w:style w:type="character" w:styleId="HeaderChar">
    <w:name w:val="Header Char"/>
    <w:basedOn w:val="DefaultParagraphFont"/>
    <w:uiPriority w:val="99"/>
    <w:qFormat/>
    <w:rPr/>
  </w:style>
  <w:style w:type="character" w:styleId="FooterChar">
    <w:name w:val="Footer Char"/>
    <w:basedOn w:val="DefaultParagraphFont"/>
    <w:uiPriority w:val="99"/>
    <w:qFormat/>
    <w:rPr/>
  </w:style>
  <w:style w:type="character" w:styleId="FootnoteTextChar">
    <w:name w:val="Footnote Text Char"/>
    <w:basedOn w:val="DefaultParagraphFont"/>
    <w:uiPriority w:val="99"/>
    <w:semiHidden/>
    <w:qFormat/>
    <w:rPr>
      <w:sz w:val="20"/>
      <w:szCs w:val="20"/>
    </w:rPr>
  </w:style>
  <w:style w:type="character" w:styleId="FootnoteCharacters">
    <w:name w:val="Footnote Characters"/>
    <w:qFormat/>
    <w:rPr>
      <w:vertAlign w:val="superscript"/>
    </w:rPr>
  </w:style>
  <w:style w:type="character" w:styleId="Caracteresdanotaderodap">
    <w:name w:val="Caracteres da nota de rodapé"/>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EndnoteTextChar">
    <w:name w:val="Endnote Text Char"/>
    <w:basedOn w:val="DefaultParagraphFont"/>
    <w:uiPriority w:val="99"/>
    <w:semiHidden/>
    <w:qFormat/>
    <w:rPr>
      <w:sz w:val="20"/>
      <w:szCs w:val="20"/>
    </w:rPr>
  </w:style>
  <w:style w:type="character" w:styleId="EndnoteCharacters">
    <w:name w:val="Endnote Characters"/>
    <w:qFormat/>
    <w:rPr>
      <w:vertAlign w:val="superscript"/>
    </w:rPr>
  </w:style>
  <w:style w:type="character" w:styleId="Caracteresdanotafinal">
    <w:name w:val="Caracteres da nota final"/>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character" w:styleId="Hyperlink">
    <w:name w:val="Hyperlink"/>
    <w:basedOn w:val="DefaultParagraphFont"/>
    <w:uiPriority w:val="99"/>
    <w:unhideWhenUsed/>
    <w:rPr>
      <w:color w:themeColor="hyperlink" w:val="0563C1"/>
      <w:u w:val="single"/>
    </w:rPr>
  </w:style>
  <w:style w:type="character" w:styleId="FollowedHyperlink">
    <w:name w:val="FollowedHyperlink"/>
    <w:basedOn w:val="DefaultParagraphFont"/>
    <w:uiPriority w:val="99"/>
    <w:semiHidden/>
    <w:unhideWhenUsed/>
    <w:rPr>
      <w:color w:themeColor="followedHyperlink" w:val="954F72"/>
      <w:u w:val="single"/>
    </w:rPr>
  </w:style>
  <w:style w:type="character" w:styleId="PlaceholderText">
    <w:name w:val="Placeholder Text"/>
    <w:basedOn w:val="DefaultParagraphFont"/>
    <w:uiPriority w:val="99"/>
    <w:semiHidden/>
    <w:qFormat/>
    <w:rPr>
      <w:color w:val="666666"/>
    </w:rPr>
  </w:style>
  <w:style w:type="character" w:styleId="StrongEmphasis" w:customStyle="1">
    <w:name w:val="Strong Emphasis"/>
    <w:qFormat/>
    <w:rPr>
      <w:b/>
      <w:bCs/>
    </w:rPr>
  </w:style>
  <w:style w:type="character" w:styleId="Bullets" w:customStyle="1">
    <w:name w:val="Bullets"/>
    <w:qFormat/>
    <w:rPr>
      <w:rFonts w:ascii="OpenSymbol" w:hAnsi="OpenSymbol" w:eastAsia="OpenSymbol" w:cs="OpenSymbol"/>
    </w:rPr>
  </w:style>
  <w:style w:type="character" w:styleId="Smbolosnumricos" w:customStyle="1">
    <w:name w:val="Símbolos numéricos"/>
    <w:qFormat/>
    <w:rPr/>
  </w:style>
  <w:style w:type="character" w:styleId="Emphasis" w:customStyle="1">
    <w:name w:val="Emphasis"/>
    <w:qFormat/>
    <w:rPr>
      <w:i/>
      <w:iCs/>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customStyle="1">
    <w:name w:val="List"/>
    <w:basedOn w:val="Textbody"/>
    <w:pPr/>
    <w:rPr>
      <w:rFonts w:cs="Noto Sans Devanagari"/>
    </w:rPr>
  </w:style>
  <w:style w:type="paragraph" w:styleId="Caption" w:customStyle="1">
    <w:name w:val="caption"/>
    <w:basedOn w:val="Standard"/>
    <w:qFormat/>
    <w:pPr>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tulo" w:customStyle="1">
    <w:name w:val="Título"/>
    <w:basedOn w:val="Standard"/>
    <w:next w:val="BodyText"/>
    <w:qFormat/>
    <w:pPr>
      <w:keepNext w:val="true"/>
      <w:spacing w:before="240" w:after="120"/>
    </w:pPr>
    <w:rPr>
      <w:rFonts w:ascii="Liberation Sans" w:hAnsi="Liberation Sans" w:eastAsia="Noto Sans CJK SC" w:cs="Noto Sans Devanagari"/>
      <w:sz w:val="28"/>
      <w:szCs w:val="28"/>
    </w:rPr>
  </w:style>
  <w:style w:type="paragraph" w:styleId="ndice" w:customStyle="1">
    <w:name w:val="Índice"/>
    <w:basedOn w:val="Standard"/>
    <w:qFormat/>
    <w:pPr/>
    <w:rPr>
      <w:rFonts w:cs="Noto Sans Devanagari"/>
    </w:rPr>
  </w:style>
  <w:style w:type="paragraph" w:styleId="Title">
    <w:name w:val="Title"/>
    <w:basedOn w:val="Normal"/>
    <w:uiPriority w:val="10"/>
    <w:qFormat/>
    <w:pPr>
      <w:spacing w:lineRule="auto" w:line="240" w:before="0" w:after="80"/>
      <w:contextualSpacing/>
    </w:pPr>
    <w:rPr>
      <w:rFonts w:ascii="Arial" w:hAnsi="Arial" w:eastAsia="Arial" w:cs="Arial"/>
      <w:spacing w:val="-10"/>
      <w:sz w:val="56"/>
      <w:szCs w:val="56"/>
    </w:rPr>
  </w:style>
  <w:style w:type="paragraph" w:styleId="Subtitle">
    <w:name w:val="Subtitle"/>
    <w:basedOn w:val="Normal"/>
    <w:uiPriority w:val="11"/>
    <w:qFormat/>
    <w:pPr/>
    <w:rPr>
      <w:color w:themeColor="text1" w:themeTint="a6" w:val="595959"/>
      <w:spacing w:val="15"/>
      <w:sz w:val="28"/>
      <w:szCs w:val="28"/>
    </w:rPr>
  </w:style>
  <w:style w:type="paragraph" w:styleId="Quote">
    <w:name w:val="Quote"/>
    <w:basedOn w:val="Normal"/>
    <w:uiPriority w:val="29"/>
    <w:qFormat/>
    <w:pPr>
      <w:spacing w:before="160" w:after="0"/>
      <w:jc w:val="center"/>
    </w:pPr>
    <w:rPr>
      <w:i/>
      <w:iCs/>
      <w:color w:themeColor="text1" w:themeTint="bf" w:val="404040"/>
    </w:rPr>
  </w:style>
  <w:style w:type="paragraph" w:styleId="ListParagraph">
    <w:name w:val="List Paragraph"/>
    <w:basedOn w:val="Normal"/>
    <w:uiPriority w:val="34"/>
    <w:qFormat/>
    <w:pPr>
      <w:spacing w:before="0" w:after="0"/>
      <w:ind w:start="720"/>
      <w:contextualSpacing/>
    </w:pPr>
    <w:rPr/>
  </w:style>
  <w:style w:type="paragraph" w:styleId="IntenseQuote">
    <w:name w:val="Intense Quote"/>
    <w:basedOn w:val="Normal"/>
    <w:uiPriority w:val="30"/>
    <w:qFormat/>
    <w:pPr>
      <w:pBdr>
        <w:top w:val="single" w:sz="4" w:space="10" w:color="0F4761" w:themeColor="accent1" w:themeShade="bf"/>
        <w:bottom w:val="single" w:sz="4" w:space="10" w:color="0F4761" w:themeColor="accent1" w:themeShade="bf"/>
      </w:pBdr>
      <w:spacing w:before="360" w:after="360"/>
      <w:ind w:start="864" w:end="864"/>
      <w:jc w:val="center"/>
    </w:pPr>
    <w:rPr>
      <w:i/>
      <w:iCs/>
      <w:color w:themeColor="accent1" w:themeShade="bf" w:val="0F4761"/>
    </w:rPr>
  </w:style>
  <w:style w:type="paragraph" w:styleId="NoSpacing">
    <w:name w:val="No Spacing"/>
    <w:basedOn w:val="Normal"/>
    <w:uiPriority w:val="1"/>
    <w:qFormat/>
    <w:pPr>
      <w:spacing w:lineRule="auto" w:line="240" w:before="0" w:after="0"/>
    </w:pPr>
    <w:rPr/>
  </w:style>
  <w:style w:type="paragraph" w:styleId="HeaderandFooter">
    <w:name w:val="Header and Footer"/>
    <w:basedOn w:val="Normal"/>
    <w:qFormat/>
    <w:pPr/>
    <w:rPr/>
  </w:style>
  <w:style w:type="paragraph" w:styleId="Header">
    <w:name w:val="header"/>
    <w:basedOn w:val="Normal"/>
    <w:uiPriority w:val="99"/>
    <w:unhideWhenUsed/>
    <w:pPr>
      <w:tabs>
        <w:tab w:val="clear" w:pos="709"/>
        <w:tab w:val="center" w:pos="4844" w:leader="none"/>
        <w:tab w:val="right" w:pos="9689" w:leader="none"/>
      </w:tabs>
      <w:spacing w:lineRule="auto" w:line="240" w:before="0" w:after="0"/>
    </w:pPr>
    <w:rPr/>
  </w:style>
  <w:style w:type="paragraph" w:styleId="Footer">
    <w:name w:val="footer"/>
    <w:basedOn w:val="Normal"/>
    <w:uiPriority w:val="99"/>
    <w:unhideWhenUsed/>
    <w:pPr>
      <w:tabs>
        <w:tab w:val="clear" w:pos="709"/>
        <w:tab w:val="center" w:pos="4844" w:leader="none"/>
        <w:tab w:val="right" w:pos="9689" w:leader="none"/>
      </w:tabs>
      <w:spacing w:lineRule="auto" w:line="240" w:before="0" w:after="0"/>
    </w:pPr>
    <w:rPr/>
  </w:style>
  <w:style w:type="paragraph" w:styleId="FootnoteText">
    <w:name w:val="footnote text"/>
    <w:basedOn w:val="Normal"/>
    <w:uiPriority w:val="99"/>
    <w:semiHidden/>
    <w:unhideWhenUsed/>
    <w:pPr>
      <w:spacing w:lineRule="auto" w:line="240" w:before="0" w:after="0"/>
    </w:pPr>
    <w:rPr>
      <w:sz w:val="20"/>
      <w:szCs w:val="20"/>
    </w:rPr>
  </w:style>
  <w:style w:type="paragraph" w:styleId="EndnoteText">
    <w:name w:val="endnote text"/>
    <w:basedOn w:val="Normal"/>
    <w:uiPriority w:val="99"/>
    <w:semiHidden/>
    <w:unhideWhenUsed/>
    <w:pPr>
      <w:spacing w:lineRule="auto" w:line="240" w:before="0" w:after="0"/>
    </w:pPr>
    <w:rPr>
      <w:sz w:val="20"/>
      <w:szCs w:val="20"/>
    </w:rPr>
  </w:style>
  <w:style w:type="paragraph" w:styleId="TOC1">
    <w:name w:val="toc 1"/>
    <w:basedOn w:val="Normal"/>
    <w:uiPriority w:val="39"/>
    <w:unhideWhenUsed/>
    <w:pPr>
      <w:spacing w:before="0" w:after="100"/>
    </w:pPr>
    <w:rPr/>
  </w:style>
  <w:style w:type="paragraph" w:styleId="TOC2">
    <w:name w:val="toc 2"/>
    <w:basedOn w:val="Normal"/>
    <w:uiPriority w:val="39"/>
    <w:unhideWhenUsed/>
    <w:pPr>
      <w:spacing w:before="0" w:after="100"/>
      <w:ind w:start="220"/>
    </w:pPr>
    <w:rPr/>
  </w:style>
  <w:style w:type="paragraph" w:styleId="TOC3">
    <w:name w:val="toc 3"/>
    <w:basedOn w:val="Normal"/>
    <w:uiPriority w:val="39"/>
    <w:unhideWhenUsed/>
    <w:pPr>
      <w:spacing w:before="0" w:after="100"/>
      <w:ind w:start="440"/>
    </w:pPr>
    <w:rPr/>
  </w:style>
  <w:style w:type="paragraph" w:styleId="TOC4">
    <w:name w:val="toc 4"/>
    <w:basedOn w:val="Normal"/>
    <w:uiPriority w:val="39"/>
    <w:unhideWhenUsed/>
    <w:pPr>
      <w:spacing w:before="0" w:after="100"/>
      <w:ind w:start="660"/>
    </w:pPr>
    <w:rPr/>
  </w:style>
  <w:style w:type="paragraph" w:styleId="TOC5">
    <w:name w:val="toc 5"/>
    <w:basedOn w:val="Normal"/>
    <w:uiPriority w:val="39"/>
    <w:unhideWhenUsed/>
    <w:pPr>
      <w:spacing w:before="0" w:after="100"/>
      <w:ind w:start="880"/>
    </w:pPr>
    <w:rPr/>
  </w:style>
  <w:style w:type="paragraph" w:styleId="TOC6">
    <w:name w:val="toc 6"/>
    <w:basedOn w:val="Normal"/>
    <w:uiPriority w:val="39"/>
    <w:unhideWhenUsed/>
    <w:pPr>
      <w:spacing w:before="0" w:after="100"/>
      <w:ind w:start="1100"/>
    </w:pPr>
    <w:rPr/>
  </w:style>
  <w:style w:type="paragraph" w:styleId="TOC7">
    <w:name w:val="toc 7"/>
    <w:basedOn w:val="Normal"/>
    <w:uiPriority w:val="39"/>
    <w:unhideWhenUsed/>
    <w:pPr>
      <w:spacing w:before="0" w:after="100"/>
      <w:ind w:start="1320"/>
    </w:pPr>
    <w:rPr/>
  </w:style>
  <w:style w:type="paragraph" w:styleId="TOC8">
    <w:name w:val="toc 8"/>
    <w:basedOn w:val="Normal"/>
    <w:uiPriority w:val="39"/>
    <w:unhideWhenUsed/>
    <w:pPr>
      <w:spacing w:before="0" w:after="100"/>
      <w:ind w:start="1540"/>
    </w:pPr>
    <w:rPr/>
  </w:style>
  <w:style w:type="paragraph" w:styleId="TOC9">
    <w:name w:val="toc 9"/>
    <w:basedOn w:val="Normal"/>
    <w:uiPriority w:val="39"/>
    <w:unhideWhenUsed/>
    <w:pPr>
      <w:spacing w:before="0" w:after="100"/>
      <w:ind w:start="1760"/>
    </w:pPr>
    <w:rPr/>
  </w:style>
  <w:style w:type="paragraph" w:styleId="IndexHeading">
    <w:name w:val="index heading"/>
    <w:basedOn w:val="Ttulo"/>
    <w:pPr/>
    <w:rPr/>
  </w:style>
  <w:style w:type="paragraph" w:styleId="TOCHeading">
    <w:name w:val="TOC Heading"/>
    <w:uiPriority w:val="39"/>
    <w:unhideWhenUsed/>
    <w:qFormat/>
    <w:pPr>
      <w:widowControl/>
      <w:suppressAutoHyphens w:val="true"/>
      <w:bidi w:val="0"/>
      <w:spacing w:before="0" w:after="0"/>
      <w:jc w:val="start"/>
    </w:pPr>
    <w:rPr>
      <w:rFonts w:ascii="Times New Roman" w:hAnsi="Times New Roman" w:eastAsia="Noto Serif SC" w:cs="Noto Sans"/>
      <w:color w:val="auto"/>
      <w:kern w:val="0"/>
      <w:sz w:val="20"/>
      <w:szCs w:val="20"/>
      <w:lang w:val="en-GB" w:eastAsia="zh-CN" w:bidi="hi-IN"/>
    </w:rPr>
  </w:style>
  <w:style w:type="paragraph" w:styleId="TableofFigures">
    <w:name w:val="table of figures"/>
    <w:basedOn w:val="Normal"/>
    <w:uiPriority w:val="99"/>
    <w:unhideWhenUsed/>
    <w:pPr>
      <w:spacing w:before="0" w:afterAutospacing="0" w:after="0"/>
    </w:pPr>
    <w:rPr/>
  </w:style>
  <w:style w:type="paragraph" w:styleId="DStyleparagraph">
    <w:name w:val="DStyle_paragraph"/>
    <w:qFormat/>
    <w:pPr>
      <w:widowControl/>
      <w:suppressAutoHyphens w:val="true"/>
      <w:bidi w:val="0"/>
      <w:spacing w:before="0" w:after="0"/>
      <w:jc w:val="start"/>
    </w:pPr>
    <w:rPr>
      <w:rFonts w:ascii="Liberation Serif" w:hAnsi="Liberation Serif" w:eastAsia="Noto Serif CJK SC" w:cs="Noto Sans Devanagari"/>
      <w:color w:val="auto"/>
      <w:kern w:val="0"/>
      <w:sz w:val="24"/>
      <w:szCs w:val="24"/>
      <w:lang w:val="fr-FR" w:eastAsia="zh-CN" w:bidi="hi-IN"/>
    </w:rPr>
  </w:style>
  <w:style w:type="paragraph" w:styleId="Standard" w:customStyle="1">
    <w:name w:val="Standard"/>
    <w:basedOn w:val="DStyleparagraph"/>
    <w:qFormat/>
    <w:pPr/>
    <w:rPr/>
  </w:style>
  <w:style w:type="paragraph" w:styleId="Textbody" w:customStyle="1">
    <w:name w:val="Text body"/>
    <w:basedOn w:val="Standard"/>
    <w:qFormat/>
    <w:pPr>
      <w:spacing w:lineRule="auto" w:line="276" w:before="0" w:after="140"/>
    </w:pPr>
    <w:rPr/>
  </w:style>
  <w:style w:type="paragraph" w:styleId="Contedodatabela" w:customStyle="1">
    <w:name w:val="Conteúdo da tabela"/>
    <w:basedOn w:val="Standard"/>
    <w:qFormat/>
    <w:pPr>
      <w:widowControl w:val="false"/>
    </w:pPr>
    <w:rPr/>
  </w:style>
  <w:style w:type="paragraph" w:styleId="Ttulodatabela" w:customStyle="1">
    <w:name w:val="Título da tabela"/>
    <w:basedOn w:val="Contedodatabela"/>
    <w:qFormat/>
    <w:pPr>
      <w:jc w:val="center"/>
    </w:pPr>
    <w:rPr>
      <w:b/>
      <w:bCs/>
    </w:rPr>
  </w:style>
  <w:style w:type="paragraph" w:styleId="DefaultDrawingStyle" w:customStyle="1">
    <w:name w:val="Default Drawing Style"/>
    <w:basedOn w:val="DStyleparagraph"/>
    <w:qFormat/>
    <w:pPr>
      <w:spacing w:lineRule="atLeast" w:line="200" w:before="0" w:after="0"/>
    </w:pPr>
    <w:rPr>
      <w:rFonts w:ascii="Noto Sans Devanagari" w:hAnsi="Noto Sans Devanagari" w:eastAsia="Noto Sans" w:cs="Noto Sans"/>
      <w:b w:val="false"/>
      <w:i w:val="false"/>
      <w:caps w:val="false"/>
      <w:smallCaps w:val="false"/>
      <w:strike w:val="false"/>
      <w:dstrike w:val="false"/>
      <w:color w:val="auto"/>
      <w:sz w:val="36"/>
      <w:szCs w:val="24"/>
      <w:u w:val="none"/>
    </w:rPr>
  </w:style>
  <w:style w:type="paragraph" w:styleId="Comment">
    <w:name w:val="Comment"/>
    <w:basedOn w:val="Normal"/>
    <w:qFormat/>
    <w:pPr>
      <w:spacing w:lineRule="auto" w:line="240" w:before="56" w:after="0"/>
      <w:ind w:hanging="0" w:start="57" w:end="57"/>
    </w:pPr>
    <w:rPr>
      <w:color w:val="auto"/>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Semlista" w:default="1">
    <w:name w:val="Sem lista"/>
    <w:uiPriority w:val="99"/>
    <w:semiHidden/>
    <w:unhideWhenUsed/>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bbc.com/news/articles/c9w15nggj58o" TargetMode="External"/><Relationship Id="rId3" Type="http://schemas.openxmlformats.org/officeDocument/2006/relationships/hyperlink" Target="https://showyourstripes.info/" TargetMode="External"/><Relationship Id="rId4" Type="http://schemas.openxmlformats.org/officeDocument/2006/relationships/hyperlink" Target="https://doughnuteconomics.org/about-doughnut-economics" TargetMode="External"/><Relationship Id="rId5" Type="http://schemas.openxmlformats.org/officeDocument/2006/relationships/hyperlink" Target="https://www.stockholmresilience.org/research/planetary-boundaries.html" TargetMode="External"/><Relationship Id="rId6" Type="http://schemas.openxmlformats.org/officeDocument/2006/relationships/hyperlink" Target="https://www.carbonbrief.org/explainer-nine-tipping-points-that-could-be-triggered-by-climate-change/" TargetMode="External"/><Relationship Id="rId7" Type="http://schemas.openxmlformats.org/officeDocument/2006/relationships/hyperlink" Target="https://www.coursera.org/learn/climate-science" TargetMode="External"/><Relationship Id="rId8" Type="http://schemas.openxmlformats.org/officeDocument/2006/relationships/hyperlink" Target="https://www.oxfam.org/en/research/climate-equality-planet-99" TargetMode="External"/><Relationship Id="rId9" Type="http://schemas.openxmlformats.org/officeDocument/2006/relationships/hyperlink" Target="https://www.degrowthinstitute.org/toolkit" TargetMode="External"/><Relationship Id="rId10" Type="http://schemas.openxmlformats.org/officeDocument/2006/relationships/hyperlink" Target="https://www.green-guidance.eu/resources/evidence-on-green-guidance-a-review-of-the-literature/" TargetMode="External"/><Relationship Id="rId11" Type="http://schemas.openxmlformats.org/officeDocument/2006/relationships/hyperlink" Target="https://www.green-guidance.eu/methodologies" TargetMode="External"/><Relationship Id="rId12" Type="http://schemas.openxmlformats.org/officeDocument/2006/relationships/hyperlink" Target="https://www.green-guidance.eu/methodology/questions-and-conversation-starters/" TargetMode="External"/><Relationship Id="rId13" Type="http://schemas.openxmlformats.org/officeDocument/2006/relationships/hyperlink" Target="https://www.green-guidance.eu/methodology/introduction-to-green-jobs/" TargetMode="External"/><Relationship Id="rId14" Type="http://schemas.openxmlformats.org/officeDocument/2006/relationships/hyperlink" Target="https://padlet.com/Mapa_Karier/exploring-green-guidance-resources-for-educators-en-ww4t99rctv71rat5" TargetMode="External"/><Relationship Id="rId15" Type="http://schemas.openxmlformats.org/officeDocument/2006/relationships/hyperlink" Target="https://www.upstreampodcast.org/documentaries" TargetMode="External"/><Relationship Id="rId16" Type="http://schemas.openxmlformats.org/officeDocument/2006/relationships/hyperlink" Target="https://globaltapestryofalternatives.org/index" TargetMode="External"/><Relationship Id="rId17" Type="http://schemas.openxmlformats.org/officeDocument/2006/relationships/hyperlink" Target="https://degrowth.info/en" TargetMode="External"/><Relationship Id="rId18" Type="http://schemas.openxmlformats.org/officeDocument/2006/relationships/hyperlink" Target="https://weall.org/" TargetMode="External"/><Relationship Id="rId19" Type="http://schemas.openxmlformats.org/officeDocument/2006/relationships/hyperlink" Target="https://www.itcilo.org/courses/mooc-social-and-solidarity-economy" TargetMode="External"/><Relationship Id="rId20" Type="http://schemas.openxmlformats.org/officeDocument/2006/relationships/hyperlink" Target="https://www.green-guidance.eu/methodologies" TargetMode="External"/><Relationship Id="rId21" Type="http://schemas.openxmlformats.org/officeDocument/2006/relationships/hyperlink" Target="https://www.green-guidance.eu/methodology/seeking-input-from-clients-on-environmental-issues/" TargetMode="External"/><Relationship Id="rId22" Type="http://schemas.openxmlformats.org/officeDocument/2006/relationships/hyperlink" Target="https://www.linkedin.com/groups/14488361/" TargetMode="External"/><Relationship Id="rId23" Type="http://schemas.openxmlformats.org/officeDocument/2006/relationships/hyperlink" Target="https://lab-greenguidance.fr/" TargetMode="External"/><Relationship Id="rId24" Type="http://schemas.openxmlformats.org/officeDocument/2006/relationships/hyperlink" Target="https://nosgestesclimat.fr/en" TargetMode="External"/><Relationship Id="rId25" Type="http://schemas.openxmlformats.org/officeDocument/2006/relationships/hyperlink" Target="https://www.green-guidance.eu/methodology/10-steps-to-advocacy/" TargetMode="External"/><Relationship Id="rId26" Type="http://schemas.openxmlformats.org/officeDocument/2006/relationships/image" Target="media/image1.jpeg"/><Relationship Id="rId27" Type="http://schemas.openxmlformats.org/officeDocument/2006/relationships/header" Target="header1.xml"/><Relationship Id="rId28" Type="http://schemas.openxmlformats.org/officeDocument/2006/relationships/header" Target="header2.xml"/><Relationship Id="rId29" Type="http://schemas.openxmlformats.org/officeDocument/2006/relationships/header" Target="header3.xml"/><Relationship Id="rId30" Type="http://schemas.openxmlformats.org/officeDocument/2006/relationships/numbering" Target="numbering.xml"/><Relationship Id="rId31" Type="http://schemas.openxmlformats.org/officeDocument/2006/relationships/fontTable" Target="fontTable.xml"/><Relationship Id="rId32" Type="http://schemas.openxmlformats.org/officeDocument/2006/relationships/settings" Target="settings.xml"/><Relationship Id="rId33"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xmlns:r="http://schemas.openxmlformats.org/officeDocument/2006/relationships"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pitchFamily="0" charset="1"/>
        <a:ea typeface="Arial" pitchFamily="0" charset="1"/>
        <a:cs typeface="Arial" pitchFamily="0" charset="1"/>
      </a:majorFont>
      <a:minorFont>
        <a:latin typeface="Arial" pitchFamily="0" charset="1"/>
        <a:ea typeface="Arial" pitchFamily="0" charset="1"/>
        <a:cs typeface="Arial" pitchFamily="0" charset="1"/>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a:ln w="25400"/>
        <a:ln w="38100"/>
      </a:lnStyleLst>
      <a:effectStyleLst>
        <a:effectStyle>
          <a:effectLst/>
        </a:effectStyle>
        <a:effectStyle>
          <a:effectLst/>
        </a:effectStyle>
        <a:effectStyle>
          <a:effectLst/>
        </a:effectStyle>
      </a:effectStyleLst>
      <a:bgFillStyleLst>
        <a:solidFill>
          <a:schemeClr val="phClr"/>
        </a:solidFill>
        <a:solidFill>
          <a:srgbClr val="000000"/>
        </a:solidFill>
        <a:solidFill>
          <a:srgbClr val="000000"/>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255</TotalTime>
  <Application>LibreOffice/26.2.3.1$Linux_X86_64 LibreOffice_project/620$Build-1</Application>
  <AppVersion>15.0000</AppVersion>
  <Pages>4</Pages>
  <Words>1474</Words>
  <Characters>8851</Characters>
  <CharactersWithSpaces>10025</CharactersWithSpaces>
  <Paragraphs>279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2025-03-21T12:14:25Z</dcterms:created>
  <dc:creator/>
  <dc:description/>
  <dc:language>en-GB</dc:language>
  <cp:lastModifiedBy/>
  <dcterms:modified xsi:type="dcterms:W3CDTF">2026-04-22T16:15:24Z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file>